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5F090" w14:textId="12176168" w:rsidR="00AE123E" w:rsidRPr="001D13ED" w:rsidRDefault="001B0DC1" w:rsidP="001B0DC1">
      <w:pPr>
        <w:pStyle w:val="Heading1"/>
        <w:rPr>
          <w:b/>
          <w:bCs/>
          <w:sz w:val="22"/>
          <w:szCs w:val="22"/>
        </w:rPr>
      </w:pPr>
      <w:r w:rsidRPr="001D13ED">
        <w:rPr>
          <w:b/>
          <w:bCs/>
          <w:sz w:val="22"/>
          <w:szCs w:val="22"/>
        </w:rPr>
        <w:t>Report on the First-Year Seminar Program to the Arts and Sciences Curriculum Committee, Autumn 2025</w:t>
      </w:r>
    </w:p>
    <w:p w14:paraId="395993D6" w14:textId="419BDFAC" w:rsidR="001B0DC1" w:rsidRPr="001D13ED" w:rsidRDefault="001B0DC1" w:rsidP="001B0DC1">
      <w:pPr>
        <w:pStyle w:val="Heading2"/>
        <w:rPr>
          <w:sz w:val="22"/>
          <w:szCs w:val="22"/>
        </w:rPr>
      </w:pPr>
      <w:r w:rsidRPr="001D13ED">
        <w:rPr>
          <w:sz w:val="22"/>
          <w:szCs w:val="22"/>
        </w:rPr>
        <w:t>A brief history of the First-Year Seminar Program</w:t>
      </w:r>
    </w:p>
    <w:p w14:paraId="5C518ACD" w14:textId="5A96F6E9" w:rsidR="001B0DC1" w:rsidRPr="001D13ED" w:rsidRDefault="001B0DC1" w:rsidP="001B0DC1">
      <w:pPr>
        <w:rPr>
          <w:sz w:val="22"/>
          <w:szCs w:val="22"/>
        </w:rPr>
      </w:pPr>
      <w:r w:rsidRPr="001D13ED">
        <w:rPr>
          <w:sz w:val="22"/>
          <w:szCs w:val="22"/>
        </w:rPr>
        <w:t xml:space="preserve">The First-Year Seminar Program began as the Freshman Seminar Program under the direction of President Karen Holbrook in 2003—with the first seminars offered winter quarter 2004—to provide unique learning experiences for first-year students. </w:t>
      </w:r>
      <w:r w:rsidR="00B2530D" w:rsidRPr="001D13ED">
        <w:rPr>
          <w:sz w:val="22"/>
          <w:szCs w:val="22"/>
        </w:rPr>
        <w:t>Seminars are capped at 18 to allow significant student discussion and participation. On the quarter calendar, seminars were offered as one or two-credit hour courses; on semesters, all seminars are one semester-hour. Seminars are offered as decimals of Arts and Sciences 1137 (graded “A” through “E”</w:t>
      </w:r>
      <w:r w:rsidR="00C56469">
        <w:rPr>
          <w:sz w:val="22"/>
          <w:szCs w:val="22"/>
        </w:rPr>
        <w:t>)</w:t>
      </w:r>
      <w:r w:rsidR="00B2530D" w:rsidRPr="001D13ED">
        <w:rPr>
          <w:sz w:val="22"/>
          <w:szCs w:val="22"/>
        </w:rPr>
        <w:t xml:space="preserve"> and 1138 (graded “S/U”).</w:t>
      </w:r>
    </w:p>
    <w:p w14:paraId="04A8A211" w14:textId="33548E6E" w:rsidR="00B2530D" w:rsidRPr="001D13ED" w:rsidRDefault="00B2530D" w:rsidP="00B2530D">
      <w:pPr>
        <w:pStyle w:val="Heading2"/>
        <w:rPr>
          <w:sz w:val="22"/>
          <w:szCs w:val="22"/>
        </w:rPr>
      </w:pPr>
      <w:r w:rsidRPr="001D13ED">
        <w:rPr>
          <w:sz w:val="22"/>
          <w:szCs w:val="22"/>
        </w:rPr>
        <w:t>Faculty Administration of the First-Year Seminar Program</w:t>
      </w:r>
    </w:p>
    <w:p w14:paraId="633536A3" w14:textId="2888696A" w:rsidR="00B2530D" w:rsidRPr="001D13ED" w:rsidRDefault="00B2530D" w:rsidP="00B2530D">
      <w:pPr>
        <w:rPr>
          <w:sz w:val="22"/>
          <w:szCs w:val="22"/>
        </w:rPr>
      </w:pPr>
      <w:r w:rsidRPr="001D13ED">
        <w:rPr>
          <w:sz w:val="22"/>
          <w:szCs w:val="22"/>
        </w:rPr>
        <w:t>Proposals are reviewed by a panel of the Arts and Sciences Curriculum Committee. Membership of the panel reflects the Arts and Sciences and the professional colleges. Each course is approved with the understanding that approval is attached to the individual faculty member(s) teaching the course. If the course is to be offered in future semesters with a different instructor, it must be resubmitted. Once approved, faculty may offer a seminar in subsequent academic years. A current syllabus must be resubmitted to the subcommittee after a period of five years.</w:t>
      </w:r>
    </w:p>
    <w:p w14:paraId="04BADFF2" w14:textId="10E45D07" w:rsidR="0047520D" w:rsidRPr="001D13ED" w:rsidRDefault="0047520D" w:rsidP="0047520D">
      <w:pPr>
        <w:pStyle w:val="Heading2"/>
        <w:rPr>
          <w:sz w:val="22"/>
          <w:szCs w:val="22"/>
        </w:rPr>
      </w:pPr>
      <w:r w:rsidRPr="001D13ED">
        <w:rPr>
          <w:sz w:val="22"/>
          <w:szCs w:val="22"/>
        </w:rPr>
        <w:t>First-Year Seminar enrollments by year</w:t>
      </w:r>
    </w:p>
    <w:p w14:paraId="654E63E6" w14:textId="504A8DA6" w:rsidR="0047520D" w:rsidRPr="001D13ED" w:rsidRDefault="0047520D" w:rsidP="0047520D">
      <w:pPr>
        <w:rPr>
          <w:sz w:val="22"/>
          <w:szCs w:val="22"/>
        </w:rPr>
      </w:pPr>
      <w:r w:rsidRPr="001D13ED">
        <w:rPr>
          <w:sz w:val="22"/>
          <w:szCs w:val="22"/>
        </w:rPr>
        <w:t>Below is a summary of enrollments</w:t>
      </w:r>
      <w:r w:rsidR="00832911" w:rsidRPr="001D13ED">
        <w:rPr>
          <w:sz w:val="22"/>
          <w:szCs w:val="22"/>
        </w:rPr>
        <w:t xml:space="preserve"> and </w:t>
      </w:r>
      <w:r w:rsidR="00197C69">
        <w:rPr>
          <w:sz w:val="22"/>
          <w:szCs w:val="22"/>
        </w:rPr>
        <w:t>department/</w:t>
      </w:r>
      <w:r w:rsidR="00832911" w:rsidRPr="001D13ED">
        <w:rPr>
          <w:sz w:val="22"/>
          <w:szCs w:val="22"/>
        </w:rPr>
        <w:t>college/unit representation</w:t>
      </w:r>
      <w:r w:rsidRPr="001D13ED">
        <w:rPr>
          <w:sz w:val="22"/>
          <w:szCs w:val="22"/>
        </w:rPr>
        <w:t>.</w:t>
      </w:r>
      <w:r w:rsidR="00832911" w:rsidRPr="001D13ED">
        <w:rPr>
          <w:sz w:val="22"/>
          <w:szCs w:val="22"/>
        </w:rPr>
        <w:t xml:space="preserve"> For 2011 – 2012 and beyond, estimates are based on current appointments, and multiple appointments are counted.</w:t>
      </w:r>
      <w:r w:rsidRPr="001D13ED">
        <w:rPr>
          <w:sz w:val="22"/>
          <w:szCs w:val="22"/>
        </w:rPr>
        <w:t xml:space="preserve"> </w:t>
      </w:r>
      <w:r w:rsidR="00832911" w:rsidRPr="001D13ED">
        <w:rPr>
          <w:sz w:val="22"/>
          <w:szCs w:val="22"/>
        </w:rPr>
        <w:t>Note that</w:t>
      </w:r>
      <w:r w:rsidR="00B5190F">
        <w:rPr>
          <w:sz w:val="22"/>
          <w:szCs w:val="22"/>
        </w:rPr>
        <w:t>,</w:t>
      </w:r>
      <w:r w:rsidR="00832911" w:rsidRPr="001D13ED">
        <w:rPr>
          <w:sz w:val="22"/>
          <w:szCs w:val="22"/>
        </w:rPr>
        <w:t xml:space="preserve"> </w:t>
      </w:r>
      <w:r w:rsidR="00B5190F">
        <w:rPr>
          <w:sz w:val="22"/>
          <w:szCs w:val="22"/>
        </w:rPr>
        <w:t>beginning</w:t>
      </w:r>
      <w:r w:rsidRPr="001D13ED">
        <w:rPr>
          <w:sz w:val="22"/>
          <w:szCs w:val="22"/>
        </w:rPr>
        <w:t xml:space="preserve"> the 2018 – 2019 academic year, we no longer offered spring semester seminars; the last spring semester seminars were offered spring 2018.</w:t>
      </w:r>
      <w:r w:rsidR="00832911" w:rsidRPr="001D13ED">
        <w:rPr>
          <w:sz w:val="22"/>
          <w:szCs w:val="22"/>
        </w:rPr>
        <w:t xml:space="preserve"> </w:t>
      </w:r>
      <w:r w:rsidRPr="001D13ED">
        <w:rPr>
          <w:sz w:val="22"/>
          <w:szCs w:val="22"/>
        </w:rPr>
        <w:t xml:space="preserve"> </w:t>
      </w:r>
    </w:p>
    <w:tbl>
      <w:tblPr>
        <w:tblStyle w:val="TableGrid"/>
        <w:tblW w:w="0" w:type="auto"/>
        <w:jc w:val="center"/>
        <w:tblLook w:val="04A0" w:firstRow="1" w:lastRow="0" w:firstColumn="1" w:lastColumn="0" w:noHBand="0" w:noVBand="1"/>
      </w:tblPr>
      <w:tblGrid>
        <w:gridCol w:w="1435"/>
        <w:gridCol w:w="1800"/>
        <w:gridCol w:w="1800"/>
        <w:gridCol w:w="2160"/>
        <w:gridCol w:w="1620"/>
        <w:gridCol w:w="1975"/>
      </w:tblGrid>
      <w:tr w:rsidR="00850176" w:rsidRPr="00CB4655" w14:paraId="50031902" w14:textId="77777777" w:rsidTr="00D35251">
        <w:trPr>
          <w:jc w:val="center"/>
        </w:trPr>
        <w:tc>
          <w:tcPr>
            <w:tcW w:w="1435" w:type="dxa"/>
            <w:shd w:val="clear" w:color="auto" w:fill="D9D9D9" w:themeFill="background1" w:themeFillShade="D9"/>
          </w:tcPr>
          <w:p w14:paraId="14C770DD" w14:textId="0EF56F59" w:rsidR="00BF194D" w:rsidRPr="0086361D" w:rsidRDefault="00E052D9" w:rsidP="00D35251">
            <w:pPr>
              <w:jc w:val="center"/>
              <w:rPr>
                <w:b/>
                <w:bCs/>
                <w:sz w:val="18"/>
                <w:szCs w:val="18"/>
              </w:rPr>
            </w:pPr>
            <w:r w:rsidRPr="0086361D">
              <w:rPr>
                <w:b/>
                <w:bCs/>
                <w:sz w:val="18"/>
                <w:szCs w:val="18"/>
              </w:rPr>
              <w:t>Year</w:t>
            </w:r>
          </w:p>
        </w:tc>
        <w:tc>
          <w:tcPr>
            <w:tcW w:w="1800" w:type="dxa"/>
            <w:shd w:val="clear" w:color="auto" w:fill="D9D9D9" w:themeFill="background1" w:themeFillShade="D9"/>
          </w:tcPr>
          <w:p w14:paraId="424190D3" w14:textId="627A6ED6" w:rsidR="00BF194D" w:rsidRPr="00021466" w:rsidRDefault="00294FC5" w:rsidP="007624A8">
            <w:pPr>
              <w:jc w:val="center"/>
              <w:rPr>
                <w:b/>
                <w:bCs/>
                <w:sz w:val="18"/>
                <w:szCs w:val="18"/>
              </w:rPr>
            </w:pPr>
            <w:r w:rsidRPr="00021466">
              <w:rPr>
                <w:b/>
                <w:bCs/>
                <w:sz w:val="18"/>
                <w:szCs w:val="18"/>
              </w:rPr>
              <w:t>Seminars</w:t>
            </w:r>
          </w:p>
        </w:tc>
        <w:tc>
          <w:tcPr>
            <w:tcW w:w="1800" w:type="dxa"/>
            <w:shd w:val="clear" w:color="auto" w:fill="D9D9D9" w:themeFill="background1" w:themeFillShade="D9"/>
          </w:tcPr>
          <w:p w14:paraId="685DC485" w14:textId="792AFE77" w:rsidR="00BF194D" w:rsidRPr="00021466" w:rsidRDefault="00F34248" w:rsidP="007624A8">
            <w:pPr>
              <w:jc w:val="center"/>
              <w:rPr>
                <w:b/>
                <w:bCs/>
                <w:sz w:val="18"/>
                <w:szCs w:val="18"/>
              </w:rPr>
            </w:pPr>
            <w:r w:rsidRPr="00021466">
              <w:rPr>
                <w:b/>
                <w:bCs/>
                <w:sz w:val="18"/>
                <w:szCs w:val="18"/>
              </w:rPr>
              <w:t>Enrollment</w:t>
            </w:r>
          </w:p>
        </w:tc>
        <w:tc>
          <w:tcPr>
            <w:tcW w:w="2160" w:type="dxa"/>
            <w:shd w:val="clear" w:color="auto" w:fill="D9D9D9" w:themeFill="background1" w:themeFillShade="D9"/>
          </w:tcPr>
          <w:p w14:paraId="7049024C" w14:textId="0D454E78" w:rsidR="00BF194D" w:rsidRPr="002070E0" w:rsidRDefault="00F34248" w:rsidP="007624A8">
            <w:pPr>
              <w:jc w:val="center"/>
              <w:rPr>
                <w:b/>
                <w:bCs/>
                <w:sz w:val="18"/>
                <w:szCs w:val="18"/>
              </w:rPr>
            </w:pPr>
            <w:r w:rsidRPr="002070E0">
              <w:rPr>
                <w:b/>
                <w:bCs/>
                <w:sz w:val="18"/>
                <w:szCs w:val="18"/>
              </w:rPr>
              <w:t xml:space="preserve">Percent of </w:t>
            </w:r>
            <w:r w:rsidR="00294FC5" w:rsidRPr="002070E0">
              <w:rPr>
                <w:b/>
                <w:bCs/>
                <w:sz w:val="18"/>
                <w:szCs w:val="18"/>
              </w:rPr>
              <w:t>Seats Filled</w:t>
            </w:r>
          </w:p>
        </w:tc>
        <w:tc>
          <w:tcPr>
            <w:tcW w:w="1620" w:type="dxa"/>
            <w:shd w:val="clear" w:color="auto" w:fill="D9D9D9" w:themeFill="background1" w:themeFillShade="D9"/>
          </w:tcPr>
          <w:p w14:paraId="3BEA1199" w14:textId="3D478386" w:rsidR="00BF194D" w:rsidRPr="002070E0" w:rsidRDefault="00294FC5" w:rsidP="007624A8">
            <w:pPr>
              <w:jc w:val="center"/>
              <w:rPr>
                <w:b/>
                <w:bCs/>
                <w:sz w:val="18"/>
                <w:szCs w:val="18"/>
              </w:rPr>
            </w:pPr>
            <w:r w:rsidRPr="002070E0">
              <w:rPr>
                <w:b/>
                <w:bCs/>
                <w:sz w:val="18"/>
                <w:szCs w:val="18"/>
              </w:rPr>
              <w:t xml:space="preserve">Departments </w:t>
            </w:r>
          </w:p>
        </w:tc>
        <w:tc>
          <w:tcPr>
            <w:tcW w:w="1975" w:type="dxa"/>
            <w:shd w:val="clear" w:color="auto" w:fill="D9D9D9" w:themeFill="background1" w:themeFillShade="D9"/>
          </w:tcPr>
          <w:p w14:paraId="1DB1FB51" w14:textId="1A84377B" w:rsidR="00BF194D" w:rsidRPr="006F31E2" w:rsidRDefault="00E66792" w:rsidP="006F31E2">
            <w:pPr>
              <w:jc w:val="center"/>
              <w:rPr>
                <w:b/>
                <w:bCs/>
                <w:sz w:val="18"/>
                <w:szCs w:val="18"/>
              </w:rPr>
            </w:pPr>
            <w:r w:rsidRPr="006F31E2">
              <w:rPr>
                <w:b/>
                <w:bCs/>
                <w:sz w:val="18"/>
                <w:szCs w:val="18"/>
              </w:rPr>
              <w:t>Colleges and Units</w:t>
            </w:r>
          </w:p>
        </w:tc>
      </w:tr>
      <w:tr w:rsidR="00850176" w:rsidRPr="00CB4655" w14:paraId="101F31C0" w14:textId="77777777" w:rsidTr="00D35251">
        <w:trPr>
          <w:jc w:val="center"/>
        </w:trPr>
        <w:tc>
          <w:tcPr>
            <w:tcW w:w="1435" w:type="dxa"/>
          </w:tcPr>
          <w:p w14:paraId="21E33F9D" w14:textId="410CEFF9" w:rsidR="00BF194D" w:rsidRPr="00E854B3" w:rsidRDefault="00A74F53" w:rsidP="00A74F53">
            <w:pPr>
              <w:jc w:val="center"/>
              <w:rPr>
                <w:sz w:val="18"/>
                <w:szCs w:val="18"/>
              </w:rPr>
            </w:pPr>
            <w:r>
              <w:rPr>
                <w:sz w:val="18"/>
                <w:szCs w:val="18"/>
              </w:rPr>
              <w:t xml:space="preserve">2003 – </w:t>
            </w:r>
            <w:r w:rsidR="00504CAF" w:rsidRPr="00E854B3">
              <w:rPr>
                <w:sz w:val="18"/>
                <w:szCs w:val="18"/>
              </w:rPr>
              <w:t>2004</w:t>
            </w:r>
          </w:p>
        </w:tc>
        <w:tc>
          <w:tcPr>
            <w:tcW w:w="1800" w:type="dxa"/>
          </w:tcPr>
          <w:p w14:paraId="260C345E" w14:textId="72F99B06" w:rsidR="00BF194D" w:rsidRPr="00E854B3" w:rsidRDefault="00424AE7" w:rsidP="00E854B3">
            <w:pPr>
              <w:jc w:val="center"/>
              <w:rPr>
                <w:sz w:val="18"/>
                <w:szCs w:val="18"/>
              </w:rPr>
            </w:pPr>
            <w:r w:rsidRPr="00E854B3">
              <w:rPr>
                <w:sz w:val="18"/>
                <w:szCs w:val="18"/>
              </w:rPr>
              <w:t>24</w:t>
            </w:r>
          </w:p>
        </w:tc>
        <w:tc>
          <w:tcPr>
            <w:tcW w:w="1800" w:type="dxa"/>
          </w:tcPr>
          <w:p w14:paraId="3D41B4D1" w14:textId="0B0096D8" w:rsidR="00BF194D" w:rsidRPr="00E854B3" w:rsidRDefault="00D43D8A" w:rsidP="00E854B3">
            <w:pPr>
              <w:jc w:val="center"/>
              <w:rPr>
                <w:sz w:val="18"/>
                <w:szCs w:val="18"/>
              </w:rPr>
            </w:pPr>
            <w:r w:rsidRPr="00E854B3">
              <w:rPr>
                <w:sz w:val="18"/>
                <w:szCs w:val="18"/>
              </w:rPr>
              <w:t>228</w:t>
            </w:r>
          </w:p>
        </w:tc>
        <w:tc>
          <w:tcPr>
            <w:tcW w:w="2160" w:type="dxa"/>
          </w:tcPr>
          <w:p w14:paraId="1CC29862" w14:textId="678B0BA7" w:rsidR="00BF194D" w:rsidRPr="00E854B3" w:rsidRDefault="00A550F0" w:rsidP="00E854B3">
            <w:pPr>
              <w:jc w:val="center"/>
              <w:rPr>
                <w:sz w:val="18"/>
                <w:szCs w:val="18"/>
              </w:rPr>
            </w:pPr>
            <w:r w:rsidRPr="00E854B3">
              <w:rPr>
                <w:sz w:val="18"/>
                <w:szCs w:val="18"/>
              </w:rPr>
              <w:t>47.5</w:t>
            </w:r>
          </w:p>
        </w:tc>
        <w:tc>
          <w:tcPr>
            <w:tcW w:w="1620" w:type="dxa"/>
          </w:tcPr>
          <w:p w14:paraId="705CB500" w14:textId="0830F5B1" w:rsidR="00BF194D" w:rsidRPr="00E854B3" w:rsidRDefault="007223D0" w:rsidP="00E854B3">
            <w:pPr>
              <w:jc w:val="center"/>
              <w:rPr>
                <w:sz w:val="18"/>
                <w:szCs w:val="18"/>
              </w:rPr>
            </w:pPr>
            <w:r w:rsidRPr="00E854B3">
              <w:rPr>
                <w:sz w:val="18"/>
                <w:szCs w:val="18"/>
              </w:rPr>
              <w:t>19</w:t>
            </w:r>
          </w:p>
        </w:tc>
        <w:tc>
          <w:tcPr>
            <w:tcW w:w="1975" w:type="dxa"/>
          </w:tcPr>
          <w:p w14:paraId="2F98B331" w14:textId="7F86ED1A" w:rsidR="00BF194D" w:rsidRPr="00E854B3" w:rsidRDefault="00C91F5A" w:rsidP="00E854B3">
            <w:pPr>
              <w:jc w:val="center"/>
              <w:rPr>
                <w:sz w:val="18"/>
                <w:szCs w:val="18"/>
              </w:rPr>
            </w:pPr>
            <w:r w:rsidRPr="00E854B3">
              <w:rPr>
                <w:sz w:val="18"/>
                <w:szCs w:val="18"/>
              </w:rPr>
              <w:t>5</w:t>
            </w:r>
          </w:p>
        </w:tc>
      </w:tr>
      <w:tr w:rsidR="00850176" w:rsidRPr="00CB4655" w14:paraId="6B5849EE" w14:textId="77777777" w:rsidTr="00D35251">
        <w:trPr>
          <w:jc w:val="center"/>
        </w:trPr>
        <w:tc>
          <w:tcPr>
            <w:tcW w:w="1435" w:type="dxa"/>
          </w:tcPr>
          <w:p w14:paraId="17C44927" w14:textId="7CD1CFD9" w:rsidR="00A74F53" w:rsidRPr="00E854B3" w:rsidRDefault="00504CAF" w:rsidP="00A74F53">
            <w:pPr>
              <w:jc w:val="center"/>
              <w:rPr>
                <w:sz w:val="18"/>
                <w:szCs w:val="18"/>
              </w:rPr>
            </w:pPr>
            <w:r w:rsidRPr="00E854B3">
              <w:rPr>
                <w:sz w:val="18"/>
                <w:szCs w:val="18"/>
              </w:rPr>
              <w:t>200</w:t>
            </w:r>
            <w:r w:rsidR="00A073AF">
              <w:rPr>
                <w:sz w:val="18"/>
                <w:szCs w:val="18"/>
              </w:rPr>
              <w:t>4</w:t>
            </w:r>
            <w:r w:rsidR="00A74F53">
              <w:rPr>
                <w:sz w:val="18"/>
                <w:szCs w:val="18"/>
              </w:rPr>
              <w:t xml:space="preserve"> – 200</w:t>
            </w:r>
            <w:r w:rsidR="00A073AF">
              <w:rPr>
                <w:sz w:val="18"/>
                <w:szCs w:val="18"/>
              </w:rPr>
              <w:t>5</w:t>
            </w:r>
          </w:p>
        </w:tc>
        <w:tc>
          <w:tcPr>
            <w:tcW w:w="1800" w:type="dxa"/>
          </w:tcPr>
          <w:p w14:paraId="60370BB2" w14:textId="3016301E" w:rsidR="00BF194D" w:rsidRPr="00E854B3" w:rsidRDefault="00CB3007" w:rsidP="00E854B3">
            <w:pPr>
              <w:jc w:val="center"/>
              <w:rPr>
                <w:sz w:val="18"/>
                <w:szCs w:val="18"/>
              </w:rPr>
            </w:pPr>
            <w:r w:rsidRPr="00E854B3">
              <w:rPr>
                <w:sz w:val="18"/>
                <w:szCs w:val="18"/>
              </w:rPr>
              <w:t>27</w:t>
            </w:r>
          </w:p>
        </w:tc>
        <w:tc>
          <w:tcPr>
            <w:tcW w:w="1800" w:type="dxa"/>
          </w:tcPr>
          <w:p w14:paraId="3AC8A426" w14:textId="5E767618" w:rsidR="00BF194D" w:rsidRPr="00E854B3" w:rsidRDefault="00D43D8A" w:rsidP="00E854B3">
            <w:pPr>
              <w:jc w:val="center"/>
              <w:rPr>
                <w:sz w:val="18"/>
                <w:szCs w:val="18"/>
              </w:rPr>
            </w:pPr>
            <w:r w:rsidRPr="00E854B3">
              <w:rPr>
                <w:sz w:val="18"/>
                <w:szCs w:val="18"/>
              </w:rPr>
              <w:t>309</w:t>
            </w:r>
          </w:p>
        </w:tc>
        <w:tc>
          <w:tcPr>
            <w:tcW w:w="2160" w:type="dxa"/>
          </w:tcPr>
          <w:p w14:paraId="3E4E22A4" w14:textId="28162AE0" w:rsidR="00BF194D" w:rsidRPr="00E854B3" w:rsidRDefault="00A550F0" w:rsidP="00E854B3">
            <w:pPr>
              <w:jc w:val="center"/>
              <w:rPr>
                <w:sz w:val="18"/>
                <w:szCs w:val="18"/>
              </w:rPr>
            </w:pPr>
            <w:r w:rsidRPr="00E854B3">
              <w:rPr>
                <w:sz w:val="18"/>
                <w:szCs w:val="18"/>
              </w:rPr>
              <w:t>61.8</w:t>
            </w:r>
          </w:p>
        </w:tc>
        <w:tc>
          <w:tcPr>
            <w:tcW w:w="1620" w:type="dxa"/>
          </w:tcPr>
          <w:p w14:paraId="5693C970" w14:textId="2914F743" w:rsidR="00BF194D" w:rsidRPr="00E854B3" w:rsidRDefault="007223D0" w:rsidP="00E854B3">
            <w:pPr>
              <w:jc w:val="center"/>
              <w:rPr>
                <w:sz w:val="18"/>
                <w:szCs w:val="18"/>
              </w:rPr>
            </w:pPr>
            <w:r w:rsidRPr="00E854B3">
              <w:rPr>
                <w:sz w:val="18"/>
                <w:szCs w:val="18"/>
              </w:rPr>
              <w:t>18</w:t>
            </w:r>
          </w:p>
        </w:tc>
        <w:tc>
          <w:tcPr>
            <w:tcW w:w="1975" w:type="dxa"/>
          </w:tcPr>
          <w:p w14:paraId="7EA3C20C" w14:textId="764304B7" w:rsidR="00BF194D" w:rsidRPr="00E854B3" w:rsidRDefault="00C91F5A" w:rsidP="00E854B3">
            <w:pPr>
              <w:jc w:val="center"/>
              <w:rPr>
                <w:sz w:val="18"/>
                <w:szCs w:val="18"/>
              </w:rPr>
            </w:pPr>
            <w:r w:rsidRPr="00E854B3">
              <w:rPr>
                <w:sz w:val="18"/>
                <w:szCs w:val="18"/>
              </w:rPr>
              <w:t>5</w:t>
            </w:r>
          </w:p>
        </w:tc>
      </w:tr>
      <w:tr w:rsidR="00850176" w:rsidRPr="00CB4655" w14:paraId="381C0FAA" w14:textId="77777777" w:rsidTr="00D35251">
        <w:trPr>
          <w:jc w:val="center"/>
        </w:trPr>
        <w:tc>
          <w:tcPr>
            <w:tcW w:w="1435" w:type="dxa"/>
          </w:tcPr>
          <w:p w14:paraId="35192E2A" w14:textId="1157575C" w:rsidR="00BF194D" w:rsidRPr="00E854B3" w:rsidRDefault="00504CAF" w:rsidP="00E854B3">
            <w:pPr>
              <w:jc w:val="center"/>
              <w:rPr>
                <w:sz w:val="18"/>
                <w:szCs w:val="18"/>
              </w:rPr>
            </w:pPr>
            <w:r w:rsidRPr="00E854B3">
              <w:rPr>
                <w:sz w:val="18"/>
                <w:szCs w:val="18"/>
              </w:rPr>
              <w:t>2005 – 2006</w:t>
            </w:r>
          </w:p>
        </w:tc>
        <w:tc>
          <w:tcPr>
            <w:tcW w:w="1800" w:type="dxa"/>
          </w:tcPr>
          <w:p w14:paraId="220CE118" w14:textId="2A896075" w:rsidR="00BF194D" w:rsidRPr="00E854B3" w:rsidRDefault="00CB3007" w:rsidP="00E854B3">
            <w:pPr>
              <w:jc w:val="center"/>
              <w:rPr>
                <w:sz w:val="18"/>
                <w:szCs w:val="18"/>
              </w:rPr>
            </w:pPr>
            <w:r w:rsidRPr="00E854B3">
              <w:rPr>
                <w:sz w:val="18"/>
                <w:szCs w:val="18"/>
              </w:rPr>
              <w:t>50</w:t>
            </w:r>
          </w:p>
        </w:tc>
        <w:tc>
          <w:tcPr>
            <w:tcW w:w="1800" w:type="dxa"/>
          </w:tcPr>
          <w:p w14:paraId="63241568" w14:textId="7ABFF634" w:rsidR="00BF194D" w:rsidRPr="00E854B3" w:rsidRDefault="00D43D8A" w:rsidP="00E854B3">
            <w:pPr>
              <w:jc w:val="center"/>
              <w:rPr>
                <w:sz w:val="18"/>
                <w:szCs w:val="18"/>
              </w:rPr>
            </w:pPr>
            <w:r w:rsidRPr="00E854B3">
              <w:rPr>
                <w:sz w:val="18"/>
                <w:szCs w:val="18"/>
              </w:rPr>
              <w:t>602</w:t>
            </w:r>
          </w:p>
        </w:tc>
        <w:tc>
          <w:tcPr>
            <w:tcW w:w="2160" w:type="dxa"/>
          </w:tcPr>
          <w:p w14:paraId="7A561FC1" w14:textId="2260A104" w:rsidR="00BF194D" w:rsidRPr="00E854B3" w:rsidRDefault="00A550F0" w:rsidP="00E854B3">
            <w:pPr>
              <w:jc w:val="center"/>
              <w:rPr>
                <w:sz w:val="18"/>
                <w:szCs w:val="18"/>
              </w:rPr>
            </w:pPr>
            <w:r w:rsidRPr="00E854B3">
              <w:rPr>
                <w:sz w:val="18"/>
                <w:szCs w:val="18"/>
              </w:rPr>
              <w:t>66.4</w:t>
            </w:r>
          </w:p>
        </w:tc>
        <w:tc>
          <w:tcPr>
            <w:tcW w:w="1620" w:type="dxa"/>
          </w:tcPr>
          <w:p w14:paraId="550D1B4F" w14:textId="57A9B775" w:rsidR="00BF194D" w:rsidRPr="00E854B3" w:rsidRDefault="007223D0" w:rsidP="00E854B3">
            <w:pPr>
              <w:jc w:val="center"/>
              <w:rPr>
                <w:sz w:val="18"/>
                <w:szCs w:val="18"/>
              </w:rPr>
            </w:pPr>
            <w:r w:rsidRPr="00E854B3">
              <w:rPr>
                <w:sz w:val="18"/>
                <w:szCs w:val="18"/>
              </w:rPr>
              <w:t>36</w:t>
            </w:r>
          </w:p>
        </w:tc>
        <w:tc>
          <w:tcPr>
            <w:tcW w:w="1975" w:type="dxa"/>
          </w:tcPr>
          <w:p w14:paraId="72DD8AA0" w14:textId="46908C6E" w:rsidR="00BF194D" w:rsidRPr="00E854B3" w:rsidRDefault="00C91F5A" w:rsidP="00E854B3">
            <w:pPr>
              <w:jc w:val="center"/>
              <w:rPr>
                <w:sz w:val="18"/>
                <w:szCs w:val="18"/>
              </w:rPr>
            </w:pPr>
            <w:r w:rsidRPr="00E854B3">
              <w:rPr>
                <w:sz w:val="18"/>
                <w:szCs w:val="18"/>
              </w:rPr>
              <w:t>13</w:t>
            </w:r>
          </w:p>
        </w:tc>
      </w:tr>
      <w:tr w:rsidR="00850176" w:rsidRPr="00CB4655" w14:paraId="27CFA479" w14:textId="77777777" w:rsidTr="00D35251">
        <w:trPr>
          <w:jc w:val="center"/>
        </w:trPr>
        <w:tc>
          <w:tcPr>
            <w:tcW w:w="1435" w:type="dxa"/>
          </w:tcPr>
          <w:p w14:paraId="2791CA32" w14:textId="5411482D" w:rsidR="00CB4655" w:rsidRPr="00E854B3" w:rsidRDefault="00CB4655" w:rsidP="00E854B3">
            <w:pPr>
              <w:jc w:val="center"/>
              <w:rPr>
                <w:sz w:val="18"/>
                <w:szCs w:val="18"/>
              </w:rPr>
            </w:pPr>
            <w:r w:rsidRPr="00E854B3">
              <w:rPr>
                <w:sz w:val="18"/>
                <w:szCs w:val="18"/>
              </w:rPr>
              <w:t>2006 – 2007</w:t>
            </w:r>
          </w:p>
        </w:tc>
        <w:tc>
          <w:tcPr>
            <w:tcW w:w="1800" w:type="dxa"/>
          </w:tcPr>
          <w:p w14:paraId="1F06A70C" w14:textId="66C2BA4A" w:rsidR="00BF194D" w:rsidRPr="00E854B3" w:rsidRDefault="00CB3007" w:rsidP="00E854B3">
            <w:pPr>
              <w:jc w:val="center"/>
              <w:rPr>
                <w:sz w:val="18"/>
                <w:szCs w:val="18"/>
              </w:rPr>
            </w:pPr>
            <w:r w:rsidRPr="00E854B3">
              <w:rPr>
                <w:sz w:val="18"/>
                <w:szCs w:val="18"/>
              </w:rPr>
              <w:t>70</w:t>
            </w:r>
          </w:p>
        </w:tc>
        <w:tc>
          <w:tcPr>
            <w:tcW w:w="1800" w:type="dxa"/>
          </w:tcPr>
          <w:p w14:paraId="5D434AC1" w14:textId="021297EE" w:rsidR="00BF194D" w:rsidRPr="00E854B3" w:rsidRDefault="00D43D8A" w:rsidP="00E854B3">
            <w:pPr>
              <w:jc w:val="center"/>
              <w:rPr>
                <w:sz w:val="18"/>
                <w:szCs w:val="18"/>
              </w:rPr>
            </w:pPr>
            <w:r w:rsidRPr="00E854B3">
              <w:rPr>
                <w:sz w:val="18"/>
                <w:szCs w:val="18"/>
              </w:rPr>
              <w:t>900</w:t>
            </w:r>
          </w:p>
        </w:tc>
        <w:tc>
          <w:tcPr>
            <w:tcW w:w="2160" w:type="dxa"/>
          </w:tcPr>
          <w:p w14:paraId="7997AE51" w14:textId="5DF6EAE3" w:rsidR="00BF194D" w:rsidRPr="00E854B3" w:rsidRDefault="00A550F0" w:rsidP="00E854B3">
            <w:pPr>
              <w:jc w:val="center"/>
              <w:rPr>
                <w:sz w:val="18"/>
                <w:szCs w:val="18"/>
              </w:rPr>
            </w:pPr>
            <w:r w:rsidRPr="00E854B3">
              <w:rPr>
                <w:sz w:val="18"/>
                <w:szCs w:val="18"/>
              </w:rPr>
              <w:t>72</w:t>
            </w:r>
          </w:p>
        </w:tc>
        <w:tc>
          <w:tcPr>
            <w:tcW w:w="1620" w:type="dxa"/>
          </w:tcPr>
          <w:p w14:paraId="4B076252" w14:textId="2435E62C" w:rsidR="00BF194D" w:rsidRPr="00E854B3" w:rsidRDefault="007223D0" w:rsidP="00E854B3">
            <w:pPr>
              <w:jc w:val="center"/>
              <w:rPr>
                <w:sz w:val="18"/>
                <w:szCs w:val="18"/>
              </w:rPr>
            </w:pPr>
            <w:r w:rsidRPr="00E854B3">
              <w:rPr>
                <w:sz w:val="18"/>
                <w:szCs w:val="18"/>
              </w:rPr>
              <w:t>44</w:t>
            </w:r>
          </w:p>
        </w:tc>
        <w:tc>
          <w:tcPr>
            <w:tcW w:w="1975" w:type="dxa"/>
          </w:tcPr>
          <w:p w14:paraId="7553B83B" w14:textId="1F05616E" w:rsidR="00BF194D" w:rsidRPr="00E854B3" w:rsidRDefault="00445200" w:rsidP="00E854B3">
            <w:pPr>
              <w:jc w:val="center"/>
              <w:rPr>
                <w:sz w:val="18"/>
                <w:szCs w:val="18"/>
              </w:rPr>
            </w:pPr>
            <w:r w:rsidRPr="00E854B3">
              <w:rPr>
                <w:sz w:val="18"/>
                <w:szCs w:val="18"/>
              </w:rPr>
              <w:t>16</w:t>
            </w:r>
          </w:p>
        </w:tc>
      </w:tr>
      <w:tr w:rsidR="00850176" w:rsidRPr="00CB4655" w14:paraId="6B030DD2" w14:textId="77777777" w:rsidTr="00D35251">
        <w:trPr>
          <w:jc w:val="center"/>
        </w:trPr>
        <w:tc>
          <w:tcPr>
            <w:tcW w:w="1435" w:type="dxa"/>
          </w:tcPr>
          <w:p w14:paraId="63E5854E" w14:textId="2C501DF1" w:rsidR="00CB4655" w:rsidRPr="00E854B3" w:rsidRDefault="00CB4655" w:rsidP="00E854B3">
            <w:pPr>
              <w:jc w:val="center"/>
              <w:rPr>
                <w:sz w:val="18"/>
                <w:szCs w:val="18"/>
              </w:rPr>
            </w:pPr>
            <w:r w:rsidRPr="00E854B3">
              <w:rPr>
                <w:sz w:val="18"/>
                <w:szCs w:val="18"/>
              </w:rPr>
              <w:t>2007 – 2008</w:t>
            </w:r>
          </w:p>
        </w:tc>
        <w:tc>
          <w:tcPr>
            <w:tcW w:w="1800" w:type="dxa"/>
          </w:tcPr>
          <w:p w14:paraId="7737E8E2" w14:textId="3B45E722" w:rsidR="00BF194D" w:rsidRPr="00E854B3" w:rsidRDefault="00CB3007" w:rsidP="00E854B3">
            <w:pPr>
              <w:jc w:val="center"/>
              <w:rPr>
                <w:sz w:val="18"/>
                <w:szCs w:val="18"/>
              </w:rPr>
            </w:pPr>
            <w:r w:rsidRPr="00E854B3">
              <w:rPr>
                <w:sz w:val="18"/>
                <w:szCs w:val="18"/>
              </w:rPr>
              <w:t>63</w:t>
            </w:r>
          </w:p>
        </w:tc>
        <w:tc>
          <w:tcPr>
            <w:tcW w:w="1800" w:type="dxa"/>
          </w:tcPr>
          <w:p w14:paraId="36EE275B" w14:textId="149D6C77" w:rsidR="00BF194D" w:rsidRPr="00E854B3" w:rsidRDefault="00BA6D21" w:rsidP="00E854B3">
            <w:pPr>
              <w:jc w:val="center"/>
              <w:rPr>
                <w:sz w:val="18"/>
                <w:szCs w:val="18"/>
              </w:rPr>
            </w:pPr>
            <w:r w:rsidRPr="00E854B3">
              <w:rPr>
                <w:sz w:val="18"/>
                <w:szCs w:val="18"/>
              </w:rPr>
              <w:t>849</w:t>
            </w:r>
          </w:p>
        </w:tc>
        <w:tc>
          <w:tcPr>
            <w:tcW w:w="2160" w:type="dxa"/>
          </w:tcPr>
          <w:p w14:paraId="69688E45" w14:textId="1AA9BFDE" w:rsidR="00BF194D" w:rsidRPr="00E854B3" w:rsidRDefault="00A550F0" w:rsidP="00E854B3">
            <w:pPr>
              <w:jc w:val="center"/>
              <w:rPr>
                <w:sz w:val="18"/>
                <w:szCs w:val="18"/>
              </w:rPr>
            </w:pPr>
            <w:r w:rsidRPr="00E854B3">
              <w:rPr>
                <w:sz w:val="18"/>
                <w:szCs w:val="18"/>
              </w:rPr>
              <w:t>75</w:t>
            </w:r>
          </w:p>
        </w:tc>
        <w:tc>
          <w:tcPr>
            <w:tcW w:w="1620" w:type="dxa"/>
          </w:tcPr>
          <w:p w14:paraId="6B26E074" w14:textId="2561A780" w:rsidR="00BF194D" w:rsidRPr="00E854B3" w:rsidRDefault="007223D0" w:rsidP="00E854B3">
            <w:pPr>
              <w:jc w:val="center"/>
              <w:rPr>
                <w:sz w:val="18"/>
                <w:szCs w:val="18"/>
              </w:rPr>
            </w:pPr>
            <w:r w:rsidRPr="00E854B3">
              <w:rPr>
                <w:sz w:val="18"/>
                <w:szCs w:val="18"/>
              </w:rPr>
              <w:t>38</w:t>
            </w:r>
          </w:p>
        </w:tc>
        <w:tc>
          <w:tcPr>
            <w:tcW w:w="1975" w:type="dxa"/>
          </w:tcPr>
          <w:p w14:paraId="4D7DB7DA" w14:textId="01647E5E" w:rsidR="00BF194D" w:rsidRPr="00E854B3" w:rsidRDefault="00445200" w:rsidP="00E854B3">
            <w:pPr>
              <w:jc w:val="center"/>
              <w:rPr>
                <w:sz w:val="18"/>
                <w:szCs w:val="18"/>
              </w:rPr>
            </w:pPr>
            <w:r w:rsidRPr="00E854B3">
              <w:rPr>
                <w:sz w:val="18"/>
                <w:szCs w:val="18"/>
              </w:rPr>
              <w:t>19</w:t>
            </w:r>
          </w:p>
        </w:tc>
      </w:tr>
      <w:tr w:rsidR="00850176" w:rsidRPr="00CB4655" w14:paraId="0E639C2E" w14:textId="77777777" w:rsidTr="00D35251">
        <w:trPr>
          <w:jc w:val="center"/>
        </w:trPr>
        <w:tc>
          <w:tcPr>
            <w:tcW w:w="1435" w:type="dxa"/>
          </w:tcPr>
          <w:p w14:paraId="6F361325" w14:textId="3758FC03" w:rsidR="00CB4655" w:rsidRPr="00E854B3" w:rsidRDefault="00CB4655" w:rsidP="00E854B3">
            <w:pPr>
              <w:jc w:val="center"/>
              <w:rPr>
                <w:sz w:val="18"/>
                <w:szCs w:val="18"/>
              </w:rPr>
            </w:pPr>
            <w:r w:rsidRPr="00E854B3">
              <w:rPr>
                <w:sz w:val="18"/>
                <w:szCs w:val="18"/>
              </w:rPr>
              <w:t>2008 – 2009</w:t>
            </w:r>
          </w:p>
        </w:tc>
        <w:tc>
          <w:tcPr>
            <w:tcW w:w="1800" w:type="dxa"/>
          </w:tcPr>
          <w:p w14:paraId="088954FA" w14:textId="1A905FDA" w:rsidR="00BF194D" w:rsidRPr="00E854B3" w:rsidRDefault="00CB3007" w:rsidP="00E854B3">
            <w:pPr>
              <w:jc w:val="center"/>
              <w:rPr>
                <w:sz w:val="18"/>
                <w:szCs w:val="18"/>
              </w:rPr>
            </w:pPr>
            <w:r w:rsidRPr="00E854B3">
              <w:rPr>
                <w:sz w:val="18"/>
                <w:szCs w:val="18"/>
              </w:rPr>
              <w:t>59</w:t>
            </w:r>
          </w:p>
        </w:tc>
        <w:tc>
          <w:tcPr>
            <w:tcW w:w="1800" w:type="dxa"/>
          </w:tcPr>
          <w:p w14:paraId="178DA8E7" w14:textId="14CA4528" w:rsidR="00BF194D" w:rsidRPr="00E854B3" w:rsidRDefault="00BA6D21" w:rsidP="00E854B3">
            <w:pPr>
              <w:jc w:val="center"/>
              <w:rPr>
                <w:sz w:val="18"/>
                <w:szCs w:val="18"/>
              </w:rPr>
            </w:pPr>
            <w:r w:rsidRPr="00E854B3">
              <w:rPr>
                <w:sz w:val="18"/>
                <w:szCs w:val="18"/>
              </w:rPr>
              <w:t>826</w:t>
            </w:r>
          </w:p>
        </w:tc>
        <w:tc>
          <w:tcPr>
            <w:tcW w:w="2160" w:type="dxa"/>
          </w:tcPr>
          <w:p w14:paraId="30957498" w14:textId="32ACC420" w:rsidR="00BF194D" w:rsidRPr="00E854B3" w:rsidRDefault="008042E7" w:rsidP="00E854B3">
            <w:pPr>
              <w:jc w:val="center"/>
              <w:rPr>
                <w:sz w:val="18"/>
                <w:szCs w:val="18"/>
              </w:rPr>
            </w:pPr>
            <w:r w:rsidRPr="00E854B3">
              <w:rPr>
                <w:sz w:val="18"/>
                <w:szCs w:val="18"/>
              </w:rPr>
              <w:t>78</w:t>
            </w:r>
          </w:p>
        </w:tc>
        <w:tc>
          <w:tcPr>
            <w:tcW w:w="1620" w:type="dxa"/>
          </w:tcPr>
          <w:p w14:paraId="70A6BA6A" w14:textId="66A7B85A" w:rsidR="00BF194D" w:rsidRPr="00E854B3" w:rsidRDefault="00EF68FF" w:rsidP="00E854B3">
            <w:pPr>
              <w:jc w:val="center"/>
              <w:rPr>
                <w:sz w:val="18"/>
                <w:szCs w:val="18"/>
              </w:rPr>
            </w:pPr>
            <w:r w:rsidRPr="00E854B3">
              <w:rPr>
                <w:sz w:val="18"/>
                <w:szCs w:val="18"/>
              </w:rPr>
              <w:t>26</w:t>
            </w:r>
          </w:p>
        </w:tc>
        <w:tc>
          <w:tcPr>
            <w:tcW w:w="1975" w:type="dxa"/>
          </w:tcPr>
          <w:p w14:paraId="474A747C" w14:textId="359D8196" w:rsidR="00BF194D" w:rsidRPr="00E854B3" w:rsidRDefault="00445200" w:rsidP="00E854B3">
            <w:pPr>
              <w:jc w:val="center"/>
              <w:rPr>
                <w:sz w:val="18"/>
                <w:szCs w:val="18"/>
              </w:rPr>
            </w:pPr>
            <w:r w:rsidRPr="00E854B3">
              <w:rPr>
                <w:sz w:val="18"/>
                <w:szCs w:val="18"/>
              </w:rPr>
              <w:t>13</w:t>
            </w:r>
          </w:p>
        </w:tc>
      </w:tr>
      <w:tr w:rsidR="00850176" w:rsidRPr="00CB4655" w14:paraId="6A87097D" w14:textId="77777777" w:rsidTr="00D35251">
        <w:trPr>
          <w:jc w:val="center"/>
        </w:trPr>
        <w:tc>
          <w:tcPr>
            <w:tcW w:w="1435" w:type="dxa"/>
          </w:tcPr>
          <w:p w14:paraId="1E6B501A" w14:textId="775AFD11" w:rsidR="007D4D38" w:rsidRPr="00E854B3" w:rsidRDefault="007D4D38" w:rsidP="00E854B3">
            <w:pPr>
              <w:jc w:val="center"/>
              <w:rPr>
                <w:sz w:val="18"/>
                <w:szCs w:val="18"/>
              </w:rPr>
            </w:pPr>
            <w:r w:rsidRPr="00E854B3">
              <w:rPr>
                <w:sz w:val="18"/>
                <w:szCs w:val="18"/>
              </w:rPr>
              <w:t>2009 – 2010</w:t>
            </w:r>
          </w:p>
        </w:tc>
        <w:tc>
          <w:tcPr>
            <w:tcW w:w="1800" w:type="dxa"/>
          </w:tcPr>
          <w:p w14:paraId="15ECC28D" w14:textId="0C0FF2C2" w:rsidR="00BF194D" w:rsidRPr="00E854B3" w:rsidRDefault="00CB3007" w:rsidP="00E854B3">
            <w:pPr>
              <w:jc w:val="center"/>
              <w:rPr>
                <w:sz w:val="18"/>
                <w:szCs w:val="18"/>
              </w:rPr>
            </w:pPr>
            <w:r w:rsidRPr="00E854B3">
              <w:rPr>
                <w:sz w:val="18"/>
                <w:szCs w:val="18"/>
              </w:rPr>
              <w:t>57</w:t>
            </w:r>
          </w:p>
        </w:tc>
        <w:tc>
          <w:tcPr>
            <w:tcW w:w="1800" w:type="dxa"/>
          </w:tcPr>
          <w:p w14:paraId="36F04B2D" w14:textId="7B171A13" w:rsidR="00BF194D" w:rsidRPr="00E854B3" w:rsidRDefault="00BA6D21" w:rsidP="00E854B3">
            <w:pPr>
              <w:jc w:val="center"/>
              <w:rPr>
                <w:sz w:val="18"/>
                <w:szCs w:val="18"/>
              </w:rPr>
            </w:pPr>
            <w:r w:rsidRPr="00E854B3">
              <w:rPr>
                <w:sz w:val="18"/>
                <w:szCs w:val="18"/>
              </w:rPr>
              <w:t>757</w:t>
            </w:r>
          </w:p>
        </w:tc>
        <w:tc>
          <w:tcPr>
            <w:tcW w:w="2160" w:type="dxa"/>
          </w:tcPr>
          <w:p w14:paraId="3B80E0C7" w14:textId="205CC78B" w:rsidR="00BF194D" w:rsidRPr="00E854B3" w:rsidRDefault="008042E7" w:rsidP="00E854B3">
            <w:pPr>
              <w:jc w:val="center"/>
              <w:rPr>
                <w:sz w:val="18"/>
                <w:szCs w:val="18"/>
              </w:rPr>
            </w:pPr>
            <w:r w:rsidRPr="00E854B3">
              <w:rPr>
                <w:sz w:val="18"/>
                <w:szCs w:val="18"/>
              </w:rPr>
              <w:t>74</w:t>
            </w:r>
          </w:p>
        </w:tc>
        <w:tc>
          <w:tcPr>
            <w:tcW w:w="1620" w:type="dxa"/>
          </w:tcPr>
          <w:p w14:paraId="5A3C0D8E" w14:textId="3EA34FF7" w:rsidR="00BF194D" w:rsidRPr="00E854B3" w:rsidRDefault="00EF68FF" w:rsidP="00E854B3">
            <w:pPr>
              <w:jc w:val="center"/>
              <w:rPr>
                <w:sz w:val="18"/>
                <w:szCs w:val="18"/>
              </w:rPr>
            </w:pPr>
            <w:r w:rsidRPr="00E854B3">
              <w:rPr>
                <w:sz w:val="18"/>
                <w:szCs w:val="18"/>
              </w:rPr>
              <w:t>24</w:t>
            </w:r>
          </w:p>
        </w:tc>
        <w:tc>
          <w:tcPr>
            <w:tcW w:w="1975" w:type="dxa"/>
          </w:tcPr>
          <w:p w14:paraId="4CE0E391" w14:textId="565DFF4A" w:rsidR="00BF194D" w:rsidRPr="00E854B3" w:rsidRDefault="00445200" w:rsidP="00E854B3">
            <w:pPr>
              <w:jc w:val="center"/>
              <w:rPr>
                <w:sz w:val="18"/>
                <w:szCs w:val="18"/>
              </w:rPr>
            </w:pPr>
            <w:r w:rsidRPr="00E854B3">
              <w:rPr>
                <w:sz w:val="18"/>
                <w:szCs w:val="18"/>
              </w:rPr>
              <w:t>12</w:t>
            </w:r>
          </w:p>
        </w:tc>
      </w:tr>
      <w:tr w:rsidR="00850176" w:rsidRPr="00CB4655" w14:paraId="3EEA9E50" w14:textId="77777777" w:rsidTr="00D35251">
        <w:trPr>
          <w:jc w:val="center"/>
        </w:trPr>
        <w:tc>
          <w:tcPr>
            <w:tcW w:w="1435" w:type="dxa"/>
          </w:tcPr>
          <w:p w14:paraId="5983FC1E" w14:textId="17C4C9A4" w:rsidR="007D4D38" w:rsidRPr="00E854B3" w:rsidRDefault="007D4D38" w:rsidP="00E854B3">
            <w:pPr>
              <w:jc w:val="center"/>
              <w:rPr>
                <w:sz w:val="18"/>
                <w:szCs w:val="18"/>
              </w:rPr>
            </w:pPr>
            <w:r w:rsidRPr="00E854B3">
              <w:rPr>
                <w:sz w:val="18"/>
                <w:szCs w:val="18"/>
              </w:rPr>
              <w:t>2010 – 2011</w:t>
            </w:r>
          </w:p>
        </w:tc>
        <w:tc>
          <w:tcPr>
            <w:tcW w:w="1800" w:type="dxa"/>
          </w:tcPr>
          <w:p w14:paraId="376BE078" w14:textId="5755B66D" w:rsidR="00BF194D" w:rsidRPr="00E854B3" w:rsidRDefault="00CB3007" w:rsidP="00E854B3">
            <w:pPr>
              <w:jc w:val="center"/>
              <w:rPr>
                <w:sz w:val="18"/>
                <w:szCs w:val="18"/>
              </w:rPr>
            </w:pPr>
            <w:r w:rsidRPr="00E854B3">
              <w:rPr>
                <w:sz w:val="18"/>
                <w:szCs w:val="18"/>
              </w:rPr>
              <w:t>53</w:t>
            </w:r>
          </w:p>
        </w:tc>
        <w:tc>
          <w:tcPr>
            <w:tcW w:w="1800" w:type="dxa"/>
          </w:tcPr>
          <w:p w14:paraId="408F1FB4" w14:textId="7D3D9826" w:rsidR="00BF194D" w:rsidRPr="00E854B3" w:rsidRDefault="00BA6D21" w:rsidP="00E854B3">
            <w:pPr>
              <w:jc w:val="center"/>
              <w:rPr>
                <w:sz w:val="18"/>
                <w:szCs w:val="18"/>
              </w:rPr>
            </w:pPr>
            <w:r w:rsidRPr="00E854B3">
              <w:rPr>
                <w:sz w:val="18"/>
                <w:szCs w:val="18"/>
              </w:rPr>
              <w:t>759</w:t>
            </w:r>
          </w:p>
        </w:tc>
        <w:tc>
          <w:tcPr>
            <w:tcW w:w="2160" w:type="dxa"/>
          </w:tcPr>
          <w:p w14:paraId="4DC01A80" w14:textId="54F340AD" w:rsidR="00BF194D" w:rsidRPr="00E854B3" w:rsidRDefault="008042E7" w:rsidP="00E854B3">
            <w:pPr>
              <w:jc w:val="center"/>
              <w:rPr>
                <w:sz w:val="18"/>
                <w:szCs w:val="18"/>
              </w:rPr>
            </w:pPr>
            <w:r w:rsidRPr="00E854B3">
              <w:rPr>
                <w:sz w:val="18"/>
                <w:szCs w:val="18"/>
              </w:rPr>
              <w:t>79</w:t>
            </w:r>
          </w:p>
        </w:tc>
        <w:tc>
          <w:tcPr>
            <w:tcW w:w="1620" w:type="dxa"/>
          </w:tcPr>
          <w:p w14:paraId="5DC57FBB" w14:textId="1097A560" w:rsidR="00BF194D" w:rsidRPr="00E854B3" w:rsidRDefault="00EF68FF" w:rsidP="00E854B3">
            <w:pPr>
              <w:jc w:val="center"/>
              <w:rPr>
                <w:sz w:val="18"/>
                <w:szCs w:val="18"/>
              </w:rPr>
            </w:pPr>
            <w:r w:rsidRPr="00E854B3">
              <w:rPr>
                <w:sz w:val="18"/>
                <w:szCs w:val="18"/>
              </w:rPr>
              <w:t>26</w:t>
            </w:r>
          </w:p>
        </w:tc>
        <w:tc>
          <w:tcPr>
            <w:tcW w:w="1975" w:type="dxa"/>
          </w:tcPr>
          <w:p w14:paraId="7CC223F6" w14:textId="6F17B07E" w:rsidR="00BF194D" w:rsidRPr="00E854B3" w:rsidRDefault="00445200" w:rsidP="00E854B3">
            <w:pPr>
              <w:jc w:val="center"/>
              <w:rPr>
                <w:sz w:val="18"/>
                <w:szCs w:val="18"/>
              </w:rPr>
            </w:pPr>
            <w:r w:rsidRPr="00E854B3">
              <w:rPr>
                <w:sz w:val="18"/>
                <w:szCs w:val="18"/>
              </w:rPr>
              <w:t>9</w:t>
            </w:r>
          </w:p>
        </w:tc>
      </w:tr>
      <w:tr w:rsidR="00850176" w:rsidRPr="00CB4655" w14:paraId="2B11FB8B" w14:textId="77777777" w:rsidTr="00D35251">
        <w:trPr>
          <w:jc w:val="center"/>
        </w:trPr>
        <w:tc>
          <w:tcPr>
            <w:tcW w:w="1435" w:type="dxa"/>
          </w:tcPr>
          <w:p w14:paraId="49C825F9" w14:textId="724E0FC0" w:rsidR="007D4D38" w:rsidRPr="00E854B3" w:rsidRDefault="007D4D38" w:rsidP="00E854B3">
            <w:pPr>
              <w:jc w:val="center"/>
              <w:rPr>
                <w:sz w:val="18"/>
                <w:szCs w:val="18"/>
              </w:rPr>
            </w:pPr>
            <w:r w:rsidRPr="00E854B3">
              <w:rPr>
                <w:sz w:val="18"/>
                <w:szCs w:val="18"/>
              </w:rPr>
              <w:t>2011 – 2012</w:t>
            </w:r>
          </w:p>
        </w:tc>
        <w:tc>
          <w:tcPr>
            <w:tcW w:w="1800" w:type="dxa"/>
          </w:tcPr>
          <w:p w14:paraId="1E65A32A" w14:textId="6F66BBD2" w:rsidR="00BF194D" w:rsidRPr="00E854B3" w:rsidRDefault="00CB3007" w:rsidP="00E854B3">
            <w:pPr>
              <w:jc w:val="center"/>
              <w:rPr>
                <w:sz w:val="18"/>
                <w:szCs w:val="18"/>
              </w:rPr>
            </w:pPr>
            <w:r w:rsidRPr="00E854B3">
              <w:rPr>
                <w:sz w:val="18"/>
                <w:szCs w:val="18"/>
              </w:rPr>
              <w:t>31</w:t>
            </w:r>
          </w:p>
        </w:tc>
        <w:tc>
          <w:tcPr>
            <w:tcW w:w="1800" w:type="dxa"/>
          </w:tcPr>
          <w:p w14:paraId="3C3156B4" w14:textId="669F39A6" w:rsidR="00BF194D" w:rsidRPr="00E854B3" w:rsidRDefault="00BA6D21" w:rsidP="00E854B3">
            <w:pPr>
              <w:jc w:val="center"/>
              <w:rPr>
                <w:sz w:val="18"/>
                <w:szCs w:val="18"/>
              </w:rPr>
            </w:pPr>
            <w:r w:rsidRPr="00E854B3">
              <w:rPr>
                <w:sz w:val="18"/>
                <w:szCs w:val="18"/>
              </w:rPr>
              <w:t>457</w:t>
            </w:r>
          </w:p>
        </w:tc>
        <w:tc>
          <w:tcPr>
            <w:tcW w:w="2160" w:type="dxa"/>
          </w:tcPr>
          <w:p w14:paraId="4BD80611" w14:textId="42432698" w:rsidR="00BF194D" w:rsidRPr="00E854B3" w:rsidRDefault="008042E7" w:rsidP="00E854B3">
            <w:pPr>
              <w:jc w:val="center"/>
              <w:rPr>
                <w:sz w:val="18"/>
                <w:szCs w:val="18"/>
              </w:rPr>
            </w:pPr>
            <w:r w:rsidRPr="00E854B3">
              <w:rPr>
                <w:sz w:val="18"/>
                <w:szCs w:val="18"/>
              </w:rPr>
              <w:t>82</w:t>
            </w:r>
          </w:p>
        </w:tc>
        <w:tc>
          <w:tcPr>
            <w:tcW w:w="1620" w:type="dxa"/>
          </w:tcPr>
          <w:p w14:paraId="396D8960" w14:textId="0ECF281D" w:rsidR="00BF194D" w:rsidRPr="00E854B3" w:rsidRDefault="00EF68FF" w:rsidP="00E854B3">
            <w:pPr>
              <w:jc w:val="center"/>
              <w:rPr>
                <w:sz w:val="18"/>
                <w:szCs w:val="18"/>
              </w:rPr>
            </w:pPr>
            <w:r w:rsidRPr="00E854B3">
              <w:rPr>
                <w:sz w:val="18"/>
                <w:szCs w:val="18"/>
              </w:rPr>
              <w:t>31</w:t>
            </w:r>
          </w:p>
        </w:tc>
        <w:tc>
          <w:tcPr>
            <w:tcW w:w="1975" w:type="dxa"/>
          </w:tcPr>
          <w:p w14:paraId="3A3C017D" w14:textId="7ADAC037" w:rsidR="00BF194D" w:rsidRPr="00E854B3" w:rsidRDefault="00445200" w:rsidP="00E854B3">
            <w:pPr>
              <w:jc w:val="center"/>
              <w:rPr>
                <w:sz w:val="18"/>
                <w:szCs w:val="18"/>
              </w:rPr>
            </w:pPr>
            <w:r w:rsidRPr="00E854B3">
              <w:rPr>
                <w:sz w:val="18"/>
                <w:szCs w:val="18"/>
              </w:rPr>
              <w:t>7</w:t>
            </w:r>
          </w:p>
        </w:tc>
      </w:tr>
      <w:tr w:rsidR="00850176" w:rsidRPr="00CB4655" w14:paraId="2E63667E" w14:textId="77777777" w:rsidTr="00D35251">
        <w:trPr>
          <w:jc w:val="center"/>
        </w:trPr>
        <w:tc>
          <w:tcPr>
            <w:tcW w:w="1435" w:type="dxa"/>
          </w:tcPr>
          <w:p w14:paraId="6BEBC2E2" w14:textId="6D61EA39" w:rsidR="007D4D38" w:rsidRPr="00E854B3" w:rsidRDefault="007D4D38" w:rsidP="00E854B3">
            <w:pPr>
              <w:jc w:val="center"/>
              <w:rPr>
                <w:sz w:val="18"/>
                <w:szCs w:val="18"/>
              </w:rPr>
            </w:pPr>
            <w:r w:rsidRPr="00E854B3">
              <w:rPr>
                <w:sz w:val="18"/>
                <w:szCs w:val="18"/>
              </w:rPr>
              <w:t>2012 – 2013</w:t>
            </w:r>
          </w:p>
        </w:tc>
        <w:tc>
          <w:tcPr>
            <w:tcW w:w="1800" w:type="dxa"/>
          </w:tcPr>
          <w:p w14:paraId="4EA04B91" w14:textId="72048A13" w:rsidR="00BF194D" w:rsidRPr="00E854B3" w:rsidRDefault="00B7049A" w:rsidP="00E854B3">
            <w:pPr>
              <w:jc w:val="center"/>
              <w:rPr>
                <w:sz w:val="18"/>
                <w:szCs w:val="18"/>
              </w:rPr>
            </w:pPr>
            <w:r w:rsidRPr="00E854B3">
              <w:rPr>
                <w:sz w:val="18"/>
                <w:szCs w:val="18"/>
              </w:rPr>
              <w:t>15</w:t>
            </w:r>
          </w:p>
        </w:tc>
        <w:tc>
          <w:tcPr>
            <w:tcW w:w="1800" w:type="dxa"/>
          </w:tcPr>
          <w:p w14:paraId="767FD011" w14:textId="0EB986C2" w:rsidR="00BF194D" w:rsidRPr="00E854B3" w:rsidRDefault="00CB2225" w:rsidP="00E854B3">
            <w:pPr>
              <w:jc w:val="center"/>
              <w:rPr>
                <w:sz w:val="18"/>
                <w:szCs w:val="18"/>
              </w:rPr>
            </w:pPr>
            <w:r w:rsidRPr="00E854B3">
              <w:rPr>
                <w:sz w:val="18"/>
                <w:szCs w:val="18"/>
              </w:rPr>
              <w:t>244</w:t>
            </w:r>
          </w:p>
        </w:tc>
        <w:tc>
          <w:tcPr>
            <w:tcW w:w="2160" w:type="dxa"/>
          </w:tcPr>
          <w:p w14:paraId="205E0694" w14:textId="3376F217" w:rsidR="00BF194D" w:rsidRPr="00E854B3" w:rsidRDefault="008042E7" w:rsidP="00E854B3">
            <w:pPr>
              <w:jc w:val="center"/>
              <w:rPr>
                <w:sz w:val="18"/>
                <w:szCs w:val="18"/>
              </w:rPr>
            </w:pPr>
            <w:r w:rsidRPr="00E854B3">
              <w:rPr>
                <w:sz w:val="18"/>
                <w:szCs w:val="18"/>
              </w:rPr>
              <w:t>90</w:t>
            </w:r>
          </w:p>
        </w:tc>
        <w:tc>
          <w:tcPr>
            <w:tcW w:w="1620" w:type="dxa"/>
          </w:tcPr>
          <w:p w14:paraId="522F0C8B" w14:textId="628DF93E" w:rsidR="00BF194D" w:rsidRPr="00E854B3" w:rsidRDefault="00EF68FF" w:rsidP="00E854B3">
            <w:pPr>
              <w:jc w:val="center"/>
              <w:rPr>
                <w:sz w:val="18"/>
                <w:szCs w:val="18"/>
              </w:rPr>
            </w:pPr>
            <w:r w:rsidRPr="00E854B3">
              <w:rPr>
                <w:sz w:val="18"/>
                <w:szCs w:val="18"/>
              </w:rPr>
              <w:t>19</w:t>
            </w:r>
          </w:p>
        </w:tc>
        <w:tc>
          <w:tcPr>
            <w:tcW w:w="1975" w:type="dxa"/>
          </w:tcPr>
          <w:p w14:paraId="720113D9" w14:textId="350CF44B" w:rsidR="00BF194D" w:rsidRPr="00E854B3" w:rsidRDefault="00445200" w:rsidP="00E854B3">
            <w:pPr>
              <w:jc w:val="center"/>
              <w:rPr>
                <w:sz w:val="18"/>
                <w:szCs w:val="18"/>
              </w:rPr>
            </w:pPr>
            <w:r w:rsidRPr="00E854B3">
              <w:rPr>
                <w:sz w:val="18"/>
                <w:szCs w:val="18"/>
              </w:rPr>
              <w:t>6</w:t>
            </w:r>
          </w:p>
        </w:tc>
      </w:tr>
      <w:tr w:rsidR="00850176" w:rsidRPr="00CB4655" w14:paraId="147E74DD" w14:textId="77777777" w:rsidTr="00D35251">
        <w:trPr>
          <w:jc w:val="center"/>
        </w:trPr>
        <w:tc>
          <w:tcPr>
            <w:tcW w:w="1435" w:type="dxa"/>
          </w:tcPr>
          <w:p w14:paraId="365FB096" w14:textId="527A3186" w:rsidR="00DD78E3" w:rsidRPr="00E854B3" w:rsidRDefault="00DD78E3" w:rsidP="00E854B3">
            <w:pPr>
              <w:jc w:val="center"/>
              <w:rPr>
                <w:sz w:val="18"/>
                <w:szCs w:val="18"/>
              </w:rPr>
            </w:pPr>
            <w:r w:rsidRPr="00E854B3">
              <w:rPr>
                <w:sz w:val="18"/>
                <w:szCs w:val="18"/>
              </w:rPr>
              <w:t>2013 – 2014</w:t>
            </w:r>
          </w:p>
        </w:tc>
        <w:tc>
          <w:tcPr>
            <w:tcW w:w="1800" w:type="dxa"/>
          </w:tcPr>
          <w:p w14:paraId="100648E8" w14:textId="208C2059" w:rsidR="00BF194D" w:rsidRPr="00E854B3" w:rsidRDefault="00B7049A" w:rsidP="00E854B3">
            <w:pPr>
              <w:jc w:val="center"/>
              <w:rPr>
                <w:sz w:val="18"/>
                <w:szCs w:val="18"/>
              </w:rPr>
            </w:pPr>
            <w:r w:rsidRPr="00E854B3">
              <w:rPr>
                <w:sz w:val="18"/>
                <w:szCs w:val="18"/>
              </w:rPr>
              <w:t>17</w:t>
            </w:r>
          </w:p>
        </w:tc>
        <w:tc>
          <w:tcPr>
            <w:tcW w:w="1800" w:type="dxa"/>
          </w:tcPr>
          <w:p w14:paraId="5C279AA9" w14:textId="1822D2DC" w:rsidR="00BF194D" w:rsidRPr="00E854B3" w:rsidRDefault="00CB2225" w:rsidP="00E854B3">
            <w:pPr>
              <w:jc w:val="center"/>
              <w:rPr>
                <w:sz w:val="18"/>
                <w:szCs w:val="18"/>
              </w:rPr>
            </w:pPr>
            <w:r w:rsidRPr="00E854B3">
              <w:rPr>
                <w:sz w:val="18"/>
                <w:szCs w:val="18"/>
              </w:rPr>
              <w:t>236</w:t>
            </w:r>
          </w:p>
        </w:tc>
        <w:tc>
          <w:tcPr>
            <w:tcW w:w="2160" w:type="dxa"/>
          </w:tcPr>
          <w:p w14:paraId="76652FF1" w14:textId="1FFA48FF" w:rsidR="00BF194D" w:rsidRPr="00E854B3" w:rsidRDefault="008042E7" w:rsidP="00E854B3">
            <w:pPr>
              <w:jc w:val="center"/>
              <w:rPr>
                <w:sz w:val="18"/>
                <w:szCs w:val="18"/>
              </w:rPr>
            </w:pPr>
            <w:r w:rsidRPr="00E854B3">
              <w:rPr>
                <w:sz w:val="18"/>
                <w:szCs w:val="18"/>
              </w:rPr>
              <w:t>77</w:t>
            </w:r>
          </w:p>
        </w:tc>
        <w:tc>
          <w:tcPr>
            <w:tcW w:w="1620" w:type="dxa"/>
          </w:tcPr>
          <w:p w14:paraId="22ED15A2" w14:textId="355B0FFE" w:rsidR="00BF194D" w:rsidRPr="00E854B3" w:rsidRDefault="00EF68FF" w:rsidP="00E854B3">
            <w:pPr>
              <w:jc w:val="center"/>
              <w:rPr>
                <w:sz w:val="18"/>
                <w:szCs w:val="18"/>
              </w:rPr>
            </w:pPr>
            <w:r w:rsidRPr="00E854B3">
              <w:rPr>
                <w:sz w:val="18"/>
                <w:szCs w:val="18"/>
              </w:rPr>
              <w:t>18</w:t>
            </w:r>
          </w:p>
        </w:tc>
        <w:tc>
          <w:tcPr>
            <w:tcW w:w="1975" w:type="dxa"/>
          </w:tcPr>
          <w:p w14:paraId="7C639CAC" w14:textId="4D04B3E4" w:rsidR="00BF194D" w:rsidRPr="00E854B3" w:rsidRDefault="00445200" w:rsidP="00E854B3">
            <w:pPr>
              <w:jc w:val="center"/>
              <w:rPr>
                <w:sz w:val="18"/>
                <w:szCs w:val="18"/>
              </w:rPr>
            </w:pPr>
            <w:r w:rsidRPr="00E854B3">
              <w:rPr>
                <w:sz w:val="18"/>
                <w:szCs w:val="18"/>
              </w:rPr>
              <w:t>7</w:t>
            </w:r>
          </w:p>
        </w:tc>
      </w:tr>
      <w:tr w:rsidR="00850176" w:rsidRPr="00CB4655" w14:paraId="167A7C9E" w14:textId="77777777" w:rsidTr="00D35251">
        <w:trPr>
          <w:jc w:val="center"/>
        </w:trPr>
        <w:tc>
          <w:tcPr>
            <w:tcW w:w="1435" w:type="dxa"/>
          </w:tcPr>
          <w:p w14:paraId="5255F7DC" w14:textId="5AAD96A9" w:rsidR="00DD78E3" w:rsidRPr="00E854B3" w:rsidRDefault="00DD78E3" w:rsidP="00E854B3">
            <w:pPr>
              <w:jc w:val="center"/>
              <w:rPr>
                <w:sz w:val="18"/>
                <w:szCs w:val="18"/>
              </w:rPr>
            </w:pPr>
            <w:r w:rsidRPr="00E854B3">
              <w:rPr>
                <w:sz w:val="18"/>
                <w:szCs w:val="18"/>
              </w:rPr>
              <w:t>2014 – 2015</w:t>
            </w:r>
          </w:p>
        </w:tc>
        <w:tc>
          <w:tcPr>
            <w:tcW w:w="1800" w:type="dxa"/>
          </w:tcPr>
          <w:p w14:paraId="471287E4" w14:textId="7EA3B58F" w:rsidR="00BF194D" w:rsidRPr="00E854B3" w:rsidRDefault="00B7049A" w:rsidP="00E854B3">
            <w:pPr>
              <w:jc w:val="center"/>
              <w:rPr>
                <w:sz w:val="18"/>
                <w:szCs w:val="18"/>
              </w:rPr>
            </w:pPr>
            <w:r w:rsidRPr="00E854B3">
              <w:rPr>
                <w:sz w:val="18"/>
                <w:szCs w:val="18"/>
              </w:rPr>
              <w:t>14</w:t>
            </w:r>
          </w:p>
        </w:tc>
        <w:tc>
          <w:tcPr>
            <w:tcW w:w="1800" w:type="dxa"/>
          </w:tcPr>
          <w:p w14:paraId="2CF40EEB" w14:textId="21CB06D1" w:rsidR="00BF194D" w:rsidRPr="00E854B3" w:rsidRDefault="00CB2225" w:rsidP="00E854B3">
            <w:pPr>
              <w:jc w:val="center"/>
              <w:rPr>
                <w:sz w:val="18"/>
                <w:szCs w:val="18"/>
              </w:rPr>
            </w:pPr>
            <w:r w:rsidRPr="00E854B3">
              <w:rPr>
                <w:sz w:val="18"/>
                <w:szCs w:val="18"/>
              </w:rPr>
              <w:t>177</w:t>
            </w:r>
          </w:p>
        </w:tc>
        <w:tc>
          <w:tcPr>
            <w:tcW w:w="2160" w:type="dxa"/>
          </w:tcPr>
          <w:p w14:paraId="29ED2616" w14:textId="60BDF6F1" w:rsidR="00BF194D" w:rsidRPr="00E854B3" w:rsidRDefault="008042E7" w:rsidP="00E854B3">
            <w:pPr>
              <w:jc w:val="center"/>
              <w:rPr>
                <w:sz w:val="18"/>
                <w:szCs w:val="18"/>
              </w:rPr>
            </w:pPr>
            <w:r w:rsidRPr="00E854B3">
              <w:rPr>
                <w:sz w:val="18"/>
                <w:szCs w:val="18"/>
              </w:rPr>
              <w:t>70</w:t>
            </w:r>
          </w:p>
        </w:tc>
        <w:tc>
          <w:tcPr>
            <w:tcW w:w="1620" w:type="dxa"/>
          </w:tcPr>
          <w:p w14:paraId="09DAF63C" w14:textId="58AA8C8E" w:rsidR="00BF194D" w:rsidRPr="00E854B3" w:rsidRDefault="00EF68FF" w:rsidP="00E854B3">
            <w:pPr>
              <w:jc w:val="center"/>
              <w:rPr>
                <w:sz w:val="18"/>
                <w:szCs w:val="18"/>
              </w:rPr>
            </w:pPr>
            <w:r w:rsidRPr="00E854B3">
              <w:rPr>
                <w:sz w:val="18"/>
                <w:szCs w:val="18"/>
              </w:rPr>
              <w:t>14</w:t>
            </w:r>
          </w:p>
        </w:tc>
        <w:tc>
          <w:tcPr>
            <w:tcW w:w="1975" w:type="dxa"/>
          </w:tcPr>
          <w:p w14:paraId="3024FFEA" w14:textId="668810C7" w:rsidR="00BF194D" w:rsidRPr="00E854B3" w:rsidRDefault="002E6DAD" w:rsidP="00E854B3">
            <w:pPr>
              <w:jc w:val="center"/>
              <w:rPr>
                <w:sz w:val="18"/>
                <w:szCs w:val="18"/>
              </w:rPr>
            </w:pPr>
            <w:r w:rsidRPr="00E854B3">
              <w:rPr>
                <w:sz w:val="18"/>
                <w:szCs w:val="18"/>
              </w:rPr>
              <w:t>4</w:t>
            </w:r>
          </w:p>
        </w:tc>
      </w:tr>
      <w:tr w:rsidR="00850176" w:rsidRPr="00CB4655" w14:paraId="4B1B9277" w14:textId="77777777" w:rsidTr="00D35251">
        <w:trPr>
          <w:jc w:val="center"/>
        </w:trPr>
        <w:tc>
          <w:tcPr>
            <w:tcW w:w="1435" w:type="dxa"/>
          </w:tcPr>
          <w:p w14:paraId="740B6D3F" w14:textId="63F656EE" w:rsidR="00DD78E3" w:rsidRPr="00E854B3" w:rsidRDefault="00DD78E3" w:rsidP="00E854B3">
            <w:pPr>
              <w:jc w:val="center"/>
              <w:rPr>
                <w:sz w:val="18"/>
                <w:szCs w:val="18"/>
              </w:rPr>
            </w:pPr>
            <w:r w:rsidRPr="00E854B3">
              <w:rPr>
                <w:sz w:val="18"/>
                <w:szCs w:val="18"/>
              </w:rPr>
              <w:t>2015 – 2016</w:t>
            </w:r>
          </w:p>
        </w:tc>
        <w:tc>
          <w:tcPr>
            <w:tcW w:w="1800" w:type="dxa"/>
          </w:tcPr>
          <w:p w14:paraId="756AFE66" w14:textId="697935BE" w:rsidR="00BF194D" w:rsidRPr="00E854B3" w:rsidRDefault="00B7049A" w:rsidP="00E854B3">
            <w:pPr>
              <w:jc w:val="center"/>
              <w:rPr>
                <w:sz w:val="18"/>
                <w:szCs w:val="18"/>
              </w:rPr>
            </w:pPr>
            <w:r w:rsidRPr="00E854B3">
              <w:rPr>
                <w:sz w:val="18"/>
                <w:szCs w:val="18"/>
              </w:rPr>
              <w:t>8</w:t>
            </w:r>
          </w:p>
        </w:tc>
        <w:tc>
          <w:tcPr>
            <w:tcW w:w="1800" w:type="dxa"/>
          </w:tcPr>
          <w:p w14:paraId="24AE7A47" w14:textId="6DE38C15" w:rsidR="00BF194D" w:rsidRPr="00E854B3" w:rsidRDefault="00CB2225" w:rsidP="00E854B3">
            <w:pPr>
              <w:jc w:val="center"/>
              <w:rPr>
                <w:sz w:val="18"/>
                <w:szCs w:val="18"/>
              </w:rPr>
            </w:pPr>
            <w:r w:rsidRPr="00E854B3">
              <w:rPr>
                <w:sz w:val="18"/>
                <w:szCs w:val="18"/>
              </w:rPr>
              <w:t>84</w:t>
            </w:r>
          </w:p>
        </w:tc>
        <w:tc>
          <w:tcPr>
            <w:tcW w:w="2160" w:type="dxa"/>
          </w:tcPr>
          <w:p w14:paraId="5495CCEF" w14:textId="7DEC33A7" w:rsidR="00BF194D" w:rsidRPr="00E854B3" w:rsidRDefault="008042E7" w:rsidP="00E854B3">
            <w:pPr>
              <w:jc w:val="center"/>
              <w:rPr>
                <w:sz w:val="18"/>
                <w:szCs w:val="18"/>
              </w:rPr>
            </w:pPr>
            <w:r w:rsidRPr="00E854B3">
              <w:rPr>
                <w:sz w:val="18"/>
                <w:szCs w:val="18"/>
              </w:rPr>
              <w:t>58</w:t>
            </w:r>
          </w:p>
        </w:tc>
        <w:tc>
          <w:tcPr>
            <w:tcW w:w="1620" w:type="dxa"/>
          </w:tcPr>
          <w:p w14:paraId="11E3D02F" w14:textId="21DEFF14" w:rsidR="00BF194D" w:rsidRPr="00E854B3" w:rsidRDefault="00EF68FF" w:rsidP="00E854B3">
            <w:pPr>
              <w:jc w:val="center"/>
              <w:rPr>
                <w:sz w:val="18"/>
                <w:szCs w:val="18"/>
              </w:rPr>
            </w:pPr>
            <w:r w:rsidRPr="00E854B3">
              <w:rPr>
                <w:sz w:val="18"/>
                <w:szCs w:val="18"/>
              </w:rPr>
              <w:t>9</w:t>
            </w:r>
          </w:p>
        </w:tc>
        <w:tc>
          <w:tcPr>
            <w:tcW w:w="1975" w:type="dxa"/>
          </w:tcPr>
          <w:p w14:paraId="6BB64901" w14:textId="0CF8886C" w:rsidR="00BF194D" w:rsidRPr="00E854B3" w:rsidRDefault="002E6DAD" w:rsidP="00E854B3">
            <w:pPr>
              <w:jc w:val="center"/>
              <w:rPr>
                <w:sz w:val="18"/>
                <w:szCs w:val="18"/>
              </w:rPr>
            </w:pPr>
            <w:r w:rsidRPr="00E854B3">
              <w:rPr>
                <w:sz w:val="18"/>
                <w:szCs w:val="18"/>
              </w:rPr>
              <w:t>3</w:t>
            </w:r>
          </w:p>
        </w:tc>
      </w:tr>
      <w:tr w:rsidR="00850176" w:rsidRPr="00CB4655" w14:paraId="626564CC" w14:textId="77777777" w:rsidTr="00D35251">
        <w:trPr>
          <w:jc w:val="center"/>
        </w:trPr>
        <w:tc>
          <w:tcPr>
            <w:tcW w:w="1435" w:type="dxa"/>
          </w:tcPr>
          <w:p w14:paraId="7BCEB6AB" w14:textId="4B4B7616" w:rsidR="00757530" w:rsidRPr="00E854B3" w:rsidRDefault="00757530" w:rsidP="00E854B3">
            <w:pPr>
              <w:jc w:val="center"/>
              <w:rPr>
                <w:sz w:val="18"/>
                <w:szCs w:val="18"/>
              </w:rPr>
            </w:pPr>
            <w:r w:rsidRPr="00E854B3">
              <w:rPr>
                <w:sz w:val="18"/>
                <w:szCs w:val="18"/>
              </w:rPr>
              <w:t>2016 – 2017</w:t>
            </w:r>
          </w:p>
        </w:tc>
        <w:tc>
          <w:tcPr>
            <w:tcW w:w="1800" w:type="dxa"/>
          </w:tcPr>
          <w:p w14:paraId="4442BD59" w14:textId="771AA3BE" w:rsidR="00BF194D" w:rsidRPr="00E854B3" w:rsidRDefault="00B7049A" w:rsidP="00E854B3">
            <w:pPr>
              <w:jc w:val="center"/>
              <w:rPr>
                <w:sz w:val="18"/>
                <w:szCs w:val="18"/>
              </w:rPr>
            </w:pPr>
            <w:r w:rsidRPr="00E854B3">
              <w:rPr>
                <w:sz w:val="18"/>
                <w:szCs w:val="18"/>
              </w:rPr>
              <w:t>35</w:t>
            </w:r>
          </w:p>
        </w:tc>
        <w:tc>
          <w:tcPr>
            <w:tcW w:w="1800" w:type="dxa"/>
          </w:tcPr>
          <w:p w14:paraId="4F66E9A8" w14:textId="06B6F1E0" w:rsidR="00BF194D" w:rsidRPr="00E854B3" w:rsidRDefault="00CB2225" w:rsidP="00E854B3">
            <w:pPr>
              <w:jc w:val="center"/>
              <w:rPr>
                <w:sz w:val="18"/>
                <w:szCs w:val="18"/>
              </w:rPr>
            </w:pPr>
            <w:r w:rsidRPr="00E854B3">
              <w:rPr>
                <w:sz w:val="18"/>
                <w:szCs w:val="18"/>
              </w:rPr>
              <w:t>478</w:t>
            </w:r>
          </w:p>
        </w:tc>
        <w:tc>
          <w:tcPr>
            <w:tcW w:w="2160" w:type="dxa"/>
          </w:tcPr>
          <w:p w14:paraId="3A1EA235" w14:textId="426E6622" w:rsidR="00BF194D" w:rsidRPr="00E854B3" w:rsidRDefault="00A60CED" w:rsidP="00E854B3">
            <w:pPr>
              <w:jc w:val="center"/>
              <w:rPr>
                <w:sz w:val="18"/>
                <w:szCs w:val="18"/>
              </w:rPr>
            </w:pPr>
            <w:r w:rsidRPr="00E854B3">
              <w:rPr>
                <w:sz w:val="18"/>
                <w:szCs w:val="18"/>
              </w:rPr>
              <w:t>73</w:t>
            </w:r>
          </w:p>
        </w:tc>
        <w:tc>
          <w:tcPr>
            <w:tcW w:w="1620" w:type="dxa"/>
          </w:tcPr>
          <w:p w14:paraId="44418C5E" w14:textId="401AE644" w:rsidR="00BF194D" w:rsidRPr="00E854B3" w:rsidRDefault="00EF68FF" w:rsidP="00E854B3">
            <w:pPr>
              <w:jc w:val="center"/>
              <w:rPr>
                <w:sz w:val="18"/>
                <w:szCs w:val="18"/>
              </w:rPr>
            </w:pPr>
            <w:r w:rsidRPr="00E854B3">
              <w:rPr>
                <w:sz w:val="18"/>
                <w:szCs w:val="18"/>
              </w:rPr>
              <w:t>28</w:t>
            </w:r>
          </w:p>
        </w:tc>
        <w:tc>
          <w:tcPr>
            <w:tcW w:w="1975" w:type="dxa"/>
          </w:tcPr>
          <w:p w14:paraId="21B2C612" w14:textId="359660D1" w:rsidR="00BF194D" w:rsidRPr="00E854B3" w:rsidRDefault="002E6DAD" w:rsidP="00E854B3">
            <w:pPr>
              <w:jc w:val="center"/>
              <w:rPr>
                <w:sz w:val="18"/>
                <w:szCs w:val="18"/>
              </w:rPr>
            </w:pPr>
            <w:r w:rsidRPr="00E854B3">
              <w:rPr>
                <w:sz w:val="18"/>
                <w:szCs w:val="18"/>
              </w:rPr>
              <w:t>9</w:t>
            </w:r>
          </w:p>
        </w:tc>
      </w:tr>
      <w:tr w:rsidR="00850176" w:rsidRPr="00CB4655" w14:paraId="04E49C83" w14:textId="77777777" w:rsidTr="00D35251">
        <w:trPr>
          <w:jc w:val="center"/>
        </w:trPr>
        <w:tc>
          <w:tcPr>
            <w:tcW w:w="1435" w:type="dxa"/>
          </w:tcPr>
          <w:p w14:paraId="66D8D227" w14:textId="299093FC" w:rsidR="00757530" w:rsidRPr="00E854B3" w:rsidRDefault="00757530" w:rsidP="00E854B3">
            <w:pPr>
              <w:jc w:val="center"/>
              <w:rPr>
                <w:sz w:val="18"/>
                <w:szCs w:val="18"/>
              </w:rPr>
            </w:pPr>
            <w:r w:rsidRPr="00E854B3">
              <w:rPr>
                <w:sz w:val="18"/>
                <w:szCs w:val="18"/>
              </w:rPr>
              <w:t>2017 – 2018</w:t>
            </w:r>
          </w:p>
        </w:tc>
        <w:tc>
          <w:tcPr>
            <w:tcW w:w="1800" w:type="dxa"/>
          </w:tcPr>
          <w:p w14:paraId="27031F86" w14:textId="6932D749" w:rsidR="00BF194D" w:rsidRPr="00E854B3" w:rsidRDefault="00B7049A" w:rsidP="00E854B3">
            <w:pPr>
              <w:jc w:val="center"/>
              <w:rPr>
                <w:sz w:val="18"/>
                <w:szCs w:val="18"/>
              </w:rPr>
            </w:pPr>
            <w:r w:rsidRPr="00E854B3">
              <w:rPr>
                <w:sz w:val="18"/>
                <w:szCs w:val="18"/>
              </w:rPr>
              <w:t>47</w:t>
            </w:r>
          </w:p>
        </w:tc>
        <w:tc>
          <w:tcPr>
            <w:tcW w:w="1800" w:type="dxa"/>
          </w:tcPr>
          <w:p w14:paraId="3DDD2D19" w14:textId="1380718C" w:rsidR="00BF194D" w:rsidRPr="00E854B3" w:rsidRDefault="00CB2225" w:rsidP="00E854B3">
            <w:pPr>
              <w:jc w:val="center"/>
              <w:rPr>
                <w:sz w:val="18"/>
                <w:szCs w:val="18"/>
              </w:rPr>
            </w:pPr>
            <w:r w:rsidRPr="00E854B3">
              <w:rPr>
                <w:sz w:val="18"/>
                <w:szCs w:val="18"/>
              </w:rPr>
              <w:t>690</w:t>
            </w:r>
          </w:p>
        </w:tc>
        <w:tc>
          <w:tcPr>
            <w:tcW w:w="2160" w:type="dxa"/>
          </w:tcPr>
          <w:p w14:paraId="6917F49E" w14:textId="5B876BBE" w:rsidR="00BF194D" w:rsidRPr="00E854B3" w:rsidRDefault="00A60CED" w:rsidP="00E854B3">
            <w:pPr>
              <w:jc w:val="center"/>
              <w:rPr>
                <w:sz w:val="18"/>
                <w:szCs w:val="18"/>
              </w:rPr>
            </w:pPr>
            <w:r w:rsidRPr="00E854B3">
              <w:rPr>
                <w:sz w:val="18"/>
                <w:szCs w:val="18"/>
              </w:rPr>
              <w:t>81</w:t>
            </w:r>
          </w:p>
        </w:tc>
        <w:tc>
          <w:tcPr>
            <w:tcW w:w="1620" w:type="dxa"/>
          </w:tcPr>
          <w:p w14:paraId="571037C0" w14:textId="25E697D5" w:rsidR="00BF194D" w:rsidRPr="00E854B3" w:rsidRDefault="00EF68FF" w:rsidP="00E854B3">
            <w:pPr>
              <w:jc w:val="center"/>
              <w:rPr>
                <w:sz w:val="18"/>
                <w:szCs w:val="18"/>
              </w:rPr>
            </w:pPr>
            <w:r w:rsidRPr="00E854B3">
              <w:rPr>
                <w:sz w:val="18"/>
                <w:szCs w:val="18"/>
              </w:rPr>
              <w:t>35</w:t>
            </w:r>
          </w:p>
        </w:tc>
        <w:tc>
          <w:tcPr>
            <w:tcW w:w="1975" w:type="dxa"/>
          </w:tcPr>
          <w:p w14:paraId="24379F3D" w14:textId="650CF3A3" w:rsidR="00BF194D" w:rsidRPr="00E854B3" w:rsidRDefault="002E6DAD" w:rsidP="00E854B3">
            <w:pPr>
              <w:jc w:val="center"/>
              <w:rPr>
                <w:sz w:val="18"/>
                <w:szCs w:val="18"/>
              </w:rPr>
            </w:pPr>
            <w:r w:rsidRPr="00E854B3">
              <w:rPr>
                <w:sz w:val="18"/>
                <w:szCs w:val="18"/>
              </w:rPr>
              <w:t>9</w:t>
            </w:r>
          </w:p>
        </w:tc>
      </w:tr>
      <w:tr w:rsidR="00850176" w:rsidRPr="00CB4655" w14:paraId="0D710CDC" w14:textId="77777777" w:rsidTr="00D35251">
        <w:trPr>
          <w:jc w:val="center"/>
        </w:trPr>
        <w:tc>
          <w:tcPr>
            <w:tcW w:w="1435" w:type="dxa"/>
          </w:tcPr>
          <w:p w14:paraId="51550DA7" w14:textId="48F1EE2E" w:rsidR="00757530" w:rsidRPr="00E854B3" w:rsidRDefault="00757530" w:rsidP="00E854B3">
            <w:pPr>
              <w:jc w:val="center"/>
              <w:rPr>
                <w:sz w:val="18"/>
                <w:szCs w:val="18"/>
              </w:rPr>
            </w:pPr>
            <w:r w:rsidRPr="00E854B3">
              <w:rPr>
                <w:sz w:val="18"/>
                <w:szCs w:val="18"/>
              </w:rPr>
              <w:t>2018 – 2019</w:t>
            </w:r>
          </w:p>
        </w:tc>
        <w:tc>
          <w:tcPr>
            <w:tcW w:w="1800" w:type="dxa"/>
          </w:tcPr>
          <w:p w14:paraId="46F9A51F" w14:textId="3E423F45" w:rsidR="00BF194D" w:rsidRPr="00E854B3" w:rsidRDefault="00161F3A" w:rsidP="00E854B3">
            <w:pPr>
              <w:jc w:val="center"/>
              <w:rPr>
                <w:sz w:val="18"/>
                <w:szCs w:val="18"/>
              </w:rPr>
            </w:pPr>
            <w:r w:rsidRPr="00E854B3">
              <w:rPr>
                <w:sz w:val="18"/>
                <w:szCs w:val="18"/>
              </w:rPr>
              <w:t>37</w:t>
            </w:r>
          </w:p>
        </w:tc>
        <w:tc>
          <w:tcPr>
            <w:tcW w:w="1800" w:type="dxa"/>
          </w:tcPr>
          <w:p w14:paraId="72406DDA" w14:textId="43A5B2D9" w:rsidR="00BF194D" w:rsidRPr="00E854B3" w:rsidRDefault="00B41FD3" w:rsidP="00E854B3">
            <w:pPr>
              <w:jc w:val="center"/>
              <w:rPr>
                <w:sz w:val="18"/>
                <w:szCs w:val="18"/>
              </w:rPr>
            </w:pPr>
            <w:r w:rsidRPr="00E854B3">
              <w:rPr>
                <w:sz w:val="18"/>
                <w:szCs w:val="18"/>
              </w:rPr>
              <w:t>552</w:t>
            </w:r>
          </w:p>
        </w:tc>
        <w:tc>
          <w:tcPr>
            <w:tcW w:w="2160" w:type="dxa"/>
          </w:tcPr>
          <w:p w14:paraId="2CC32B00" w14:textId="4A4C7ED3" w:rsidR="00BF194D" w:rsidRPr="00E854B3" w:rsidRDefault="00A60CED" w:rsidP="00E854B3">
            <w:pPr>
              <w:jc w:val="center"/>
              <w:rPr>
                <w:sz w:val="18"/>
                <w:szCs w:val="18"/>
              </w:rPr>
            </w:pPr>
            <w:r w:rsidRPr="00E854B3">
              <w:rPr>
                <w:sz w:val="18"/>
                <w:szCs w:val="18"/>
              </w:rPr>
              <w:t>82</w:t>
            </w:r>
          </w:p>
        </w:tc>
        <w:tc>
          <w:tcPr>
            <w:tcW w:w="1620" w:type="dxa"/>
          </w:tcPr>
          <w:p w14:paraId="56555A91" w14:textId="0DA01C4D" w:rsidR="00BF194D" w:rsidRPr="00E854B3" w:rsidRDefault="00FE7680" w:rsidP="00E854B3">
            <w:pPr>
              <w:jc w:val="center"/>
              <w:rPr>
                <w:sz w:val="18"/>
                <w:szCs w:val="18"/>
              </w:rPr>
            </w:pPr>
            <w:r w:rsidRPr="00E854B3">
              <w:rPr>
                <w:sz w:val="18"/>
                <w:szCs w:val="18"/>
              </w:rPr>
              <w:t>26</w:t>
            </w:r>
          </w:p>
        </w:tc>
        <w:tc>
          <w:tcPr>
            <w:tcW w:w="1975" w:type="dxa"/>
          </w:tcPr>
          <w:p w14:paraId="23805607" w14:textId="3CEB9985" w:rsidR="00BF194D" w:rsidRPr="00E854B3" w:rsidRDefault="002E6DAD" w:rsidP="00E854B3">
            <w:pPr>
              <w:jc w:val="center"/>
              <w:rPr>
                <w:sz w:val="18"/>
                <w:szCs w:val="18"/>
              </w:rPr>
            </w:pPr>
            <w:r w:rsidRPr="00E854B3">
              <w:rPr>
                <w:sz w:val="18"/>
                <w:szCs w:val="18"/>
              </w:rPr>
              <w:t>8</w:t>
            </w:r>
          </w:p>
        </w:tc>
      </w:tr>
      <w:tr w:rsidR="00850176" w:rsidRPr="00CB4655" w14:paraId="30384D97" w14:textId="77777777" w:rsidTr="00D35251">
        <w:trPr>
          <w:jc w:val="center"/>
        </w:trPr>
        <w:tc>
          <w:tcPr>
            <w:tcW w:w="1435" w:type="dxa"/>
          </w:tcPr>
          <w:p w14:paraId="4506FDE2" w14:textId="68D72604" w:rsidR="00757530" w:rsidRPr="00E854B3" w:rsidRDefault="00757530" w:rsidP="00E854B3">
            <w:pPr>
              <w:jc w:val="center"/>
              <w:rPr>
                <w:sz w:val="18"/>
                <w:szCs w:val="18"/>
              </w:rPr>
            </w:pPr>
            <w:r w:rsidRPr="00E854B3">
              <w:rPr>
                <w:sz w:val="18"/>
                <w:szCs w:val="18"/>
              </w:rPr>
              <w:t>2019 – 2020</w:t>
            </w:r>
          </w:p>
        </w:tc>
        <w:tc>
          <w:tcPr>
            <w:tcW w:w="1800" w:type="dxa"/>
          </w:tcPr>
          <w:p w14:paraId="38469627" w14:textId="2FE095D7" w:rsidR="00BF194D" w:rsidRPr="00E854B3" w:rsidRDefault="00161F3A" w:rsidP="00E854B3">
            <w:pPr>
              <w:jc w:val="center"/>
              <w:rPr>
                <w:sz w:val="18"/>
                <w:szCs w:val="18"/>
              </w:rPr>
            </w:pPr>
            <w:r w:rsidRPr="00E854B3">
              <w:rPr>
                <w:sz w:val="18"/>
                <w:szCs w:val="18"/>
              </w:rPr>
              <w:t>38</w:t>
            </w:r>
          </w:p>
        </w:tc>
        <w:tc>
          <w:tcPr>
            <w:tcW w:w="1800" w:type="dxa"/>
          </w:tcPr>
          <w:p w14:paraId="06FB21D9" w14:textId="485C8965" w:rsidR="00BF194D" w:rsidRPr="00E854B3" w:rsidRDefault="00B41FD3" w:rsidP="00E854B3">
            <w:pPr>
              <w:jc w:val="center"/>
              <w:rPr>
                <w:sz w:val="18"/>
                <w:szCs w:val="18"/>
              </w:rPr>
            </w:pPr>
            <w:r w:rsidRPr="00E854B3">
              <w:rPr>
                <w:sz w:val="18"/>
                <w:szCs w:val="18"/>
              </w:rPr>
              <w:t>566</w:t>
            </w:r>
          </w:p>
        </w:tc>
        <w:tc>
          <w:tcPr>
            <w:tcW w:w="2160" w:type="dxa"/>
          </w:tcPr>
          <w:p w14:paraId="6B4E46D7" w14:textId="64F2BC08" w:rsidR="00BF194D" w:rsidRPr="00E854B3" w:rsidRDefault="00A60CED" w:rsidP="00E854B3">
            <w:pPr>
              <w:jc w:val="center"/>
              <w:rPr>
                <w:sz w:val="18"/>
                <w:szCs w:val="18"/>
              </w:rPr>
            </w:pPr>
            <w:r w:rsidRPr="00E854B3">
              <w:rPr>
                <w:sz w:val="18"/>
                <w:szCs w:val="18"/>
              </w:rPr>
              <w:t>83</w:t>
            </w:r>
          </w:p>
        </w:tc>
        <w:tc>
          <w:tcPr>
            <w:tcW w:w="1620" w:type="dxa"/>
          </w:tcPr>
          <w:p w14:paraId="35008B1C" w14:textId="59281DC1" w:rsidR="00BF194D" w:rsidRPr="00E854B3" w:rsidRDefault="00FE7680" w:rsidP="00E854B3">
            <w:pPr>
              <w:jc w:val="center"/>
              <w:rPr>
                <w:sz w:val="18"/>
                <w:szCs w:val="18"/>
              </w:rPr>
            </w:pPr>
            <w:r w:rsidRPr="00E854B3">
              <w:rPr>
                <w:sz w:val="18"/>
                <w:szCs w:val="18"/>
              </w:rPr>
              <w:t>25</w:t>
            </w:r>
          </w:p>
        </w:tc>
        <w:tc>
          <w:tcPr>
            <w:tcW w:w="1975" w:type="dxa"/>
          </w:tcPr>
          <w:p w14:paraId="70E58550" w14:textId="356D4CF9" w:rsidR="00BF194D" w:rsidRPr="00E854B3" w:rsidRDefault="002E6DAD" w:rsidP="00E854B3">
            <w:pPr>
              <w:jc w:val="center"/>
              <w:rPr>
                <w:sz w:val="18"/>
                <w:szCs w:val="18"/>
              </w:rPr>
            </w:pPr>
            <w:r w:rsidRPr="00E854B3">
              <w:rPr>
                <w:sz w:val="18"/>
                <w:szCs w:val="18"/>
              </w:rPr>
              <w:t>6</w:t>
            </w:r>
          </w:p>
        </w:tc>
      </w:tr>
      <w:tr w:rsidR="00850176" w:rsidRPr="00CB4655" w14:paraId="1493AFBA" w14:textId="77777777" w:rsidTr="00D35251">
        <w:trPr>
          <w:jc w:val="center"/>
        </w:trPr>
        <w:tc>
          <w:tcPr>
            <w:tcW w:w="1435" w:type="dxa"/>
          </w:tcPr>
          <w:p w14:paraId="7B0579AF" w14:textId="4DD29110" w:rsidR="00757530" w:rsidRPr="00E854B3" w:rsidRDefault="00757530" w:rsidP="00E854B3">
            <w:pPr>
              <w:jc w:val="center"/>
              <w:rPr>
                <w:sz w:val="18"/>
                <w:szCs w:val="18"/>
              </w:rPr>
            </w:pPr>
            <w:r w:rsidRPr="00E854B3">
              <w:rPr>
                <w:sz w:val="18"/>
                <w:szCs w:val="18"/>
              </w:rPr>
              <w:t>2020 – 2021</w:t>
            </w:r>
          </w:p>
        </w:tc>
        <w:tc>
          <w:tcPr>
            <w:tcW w:w="1800" w:type="dxa"/>
          </w:tcPr>
          <w:p w14:paraId="1C1A3AFE" w14:textId="3BE21A49" w:rsidR="00BF194D" w:rsidRPr="00E854B3" w:rsidRDefault="00161F3A" w:rsidP="00E854B3">
            <w:pPr>
              <w:jc w:val="center"/>
              <w:rPr>
                <w:sz w:val="18"/>
                <w:szCs w:val="18"/>
              </w:rPr>
            </w:pPr>
            <w:r w:rsidRPr="00E854B3">
              <w:rPr>
                <w:sz w:val="18"/>
                <w:szCs w:val="18"/>
              </w:rPr>
              <w:t>35</w:t>
            </w:r>
          </w:p>
        </w:tc>
        <w:tc>
          <w:tcPr>
            <w:tcW w:w="1800" w:type="dxa"/>
          </w:tcPr>
          <w:p w14:paraId="3555E509" w14:textId="55DB8239" w:rsidR="00BF194D" w:rsidRPr="00E854B3" w:rsidRDefault="00B41FD3" w:rsidP="00E854B3">
            <w:pPr>
              <w:jc w:val="center"/>
              <w:rPr>
                <w:sz w:val="18"/>
                <w:szCs w:val="18"/>
              </w:rPr>
            </w:pPr>
            <w:r w:rsidRPr="00E854B3">
              <w:rPr>
                <w:sz w:val="18"/>
                <w:szCs w:val="18"/>
              </w:rPr>
              <w:t>499</w:t>
            </w:r>
          </w:p>
        </w:tc>
        <w:tc>
          <w:tcPr>
            <w:tcW w:w="2160" w:type="dxa"/>
          </w:tcPr>
          <w:p w14:paraId="3B405E0A" w14:textId="413C5FBF" w:rsidR="00BF194D" w:rsidRPr="00E854B3" w:rsidRDefault="00A60CED" w:rsidP="00E854B3">
            <w:pPr>
              <w:jc w:val="center"/>
              <w:rPr>
                <w:sz w:val="18"/>
                <w:szCs w:val="18"/>
              </w:rPr>
            </w:pPr>
            <w:r w:rsidRPr="00E854B3">
              <w:rPr>
                <w:sz w:val="18"/>
                <w:szCs w:val="18"/>
              </w:rPr>
              <w:t>79</w:t>
            </w:r>
          </w:p>
        </w:tc>
        <w:tc>
          <w:tcPr>
            <w:tcW w:w="1620" w:type="dxa"/>
          </w:tcPr>
          <w:p w14:paraId="2F648252" w14:textId="721E4349" w:rsidR="00BF194D" w:rsidRPr="00E854B3" w:rsidRDefault="00FE7680" w:rsidP="00E854B3">
            <w:pPr>
              <w:jc w:val="center"/>
              <w:rPr>
                <w:sz w:val="18"/>
                <w:szCs w:val="18"/>
              </w:rPr>
            </w:pPr>
            <w:r w:rsidRPr="00E854B3">
              <w:rPr>
                <w:sz w:val="18"/>
                <w:szCs w:val="18"/>
              </w:rPr>
              <w:t>25</w:t>
            </w:r>
          </w:p>
        </w:tc>
        <w:tc>
          <w:tcPr>
            <w:tcW w:w="1975" w:type="dxa"/>
          </w:tcPr>
          <w:p w14:paraId="3DE851B7" w14:textId="3D2EB523" w:rsidR="00BF194D" w:rsidRPr="00E854B3" w:rsidRDefault="002E6DAD" w:rsidP="00E854B3">
            <w:pPr>
              <w:jc w:val="center"/>
              <w:rPr>
                <w:sz w:val="18"/>
                <w:szCs w:val="18"/>
              </w:rPr>
            </w:pPr>
            <w:r w:rsidRPr="00E854B3">
              <w:rPr>
                <w:sz w:val="18"/>
                <w:szCs w:val="18"/>
              </w:rPr>
              <w:t>7</w:t>
            </w:r>
          </w:p>
        </w:tc>
      </w:tr>
      <w:tr w:rsidR="00850176" w:rsidRPr="00CB4655" w14:paraId="4F0FB3D9" w14:textId="77777777" w:rsidTr="00D35251">
        <w:trPr>
          <w:jc w:val="center"/>
        </w:trPr>
        <w:tc>
          <w:tcPr>
            <w:tcW w:w="1435" w:type="dxa"/>
          </w:tcPr>
          <w:p w14:paraId="00C928AC" w14:textId="487C21B1" w:rsidR="00757530" w:rsidRPr="00E854B3" w:rsidRDefault="00757530" w:rsidP="00E854B3">
            <w:pPr>
              <w:jc w:val="center"/>
              <w:rPr>
                <w:sz w:val="18"/>
                <w:szCs w:val="18"/>
              </w:rPr>
            </w:pPr>
            <w:r w:rsidRPr="00E854B3">
              <w:rPr>
                <w:sz w:val="18"/>
                <w:szCs w:val="18"/>
              </w:rPr>
              <w:t>2021 – 2022</w:t>
            </w:r>
          </w:p>
        </w:tc>
        <w:tc>
          <w:tcPr>
            <w:tcW w:w="1800" w:type="dxa"/>
          </w:tcPr>
          <w:p w14:paraId="402A0781" w14:textId="500F22A4" w:rsidR="00BF194D" w:rsidRPr="00E854B3" w:rsidRDefault="00161F3A" w:rsidP="00E854B3">
            <w:pPr>
              <w:jc w:val="center"/>
              <w:rPr>
                <w:sz w:val="18"/>
                <w:szCs w:val="18"/>
              </w:rPr>
            </w:pPr>
            <w:r w:rsidRPr="00E854B3">
              <w:rPr>
                <w:sz w:val="18"/>
                <w:szCs w:val="18"/>
              </w:rPr>
              <w:t>28</w:t>
            </w:r>
          </w:p>
        </w:tc>
        <w:tc>
          <w:tcPr>
            <w:tcW w:w="1800" w:type="dxa"/>
          </w:tcPr>
          <w:p w14:paraId="276EC279" w14:textId="6082E973" w:rsidR="00BF194D" w:rsidRPr="00E854B3" w:rsidRDefault="00B41FD3" w:rsidP="00E854B3">
            <w:pPr>
              <w:jc w:val="center"/>
              <w:rPr>
                <w:sz w:val="18"/>
                <w:szCs w:val="18"/>
              </w:rPr>
            </w:pPr>
            <w:r w:rsidRPr="00E854B3">
              <w:rPr>
                <w:sz w:val="18"/>
                <w:szCs w:val="18"/>
              </w:rPr>
              <w:t>476</w:t>
            </w:r>
          </w:p>
        </w:tc>
        <w:tc>
          <w:tcPr>
            <w:tcW w:w="2160" w:type="dxa"/>
          </w:tcPr>
          <w:p w14:paraId="5F275C65" w14:textId="4E1BBDEE" w:rsidR="00BF194D" w:rsidRPr="00E854B3" w:rsidRDefault="00A60CED" w:rsidP="00E854B3">
            <w:pPr>
              <w:jc w:val="center"/>
              <w:rPr>
                <w:sz w:val="18"/>
                <w:szCs w:val="18"/>
              </w:rPr>
            </w:pPr>
            <w:r w:rsidRPr="00E854B3">
              <w:rPr>
                <w:sz w:val="18"/>
                <w:szCs w:val="18"/>
              </w:rPr>
              <w:t>94</w:t>
            </w:r>
          </w:p>
        </w:tc>
        <w:tc>
          <w:tcPr>
            <w:tcW w:w="1620" w:type="dxa"/>
          </w:tcPr>
          <w:p w14:paraId="041070A0" w14:textId="6E63D993" w:rsidR="00BF194D" w:rsidRPr="00E854B3" w:rsidRDefault="00FE7680" w:rsidP="00E854B3">
            <w:pPr>
              <w:jc w:val="center"/>
              <w:rPr>
                <w:sz w:val="18"/>
                <w:szCs w:val="18"/>
              </w:rPr>
            </w:pPr>
            <w:r w:rsidRPr="00E854B3">
              <w:rPr>
                <w:sz w:val="18"/>
                <w:szCs w:val="18"/>
              </w:rPr>
              <w:t>20</w:t>
            </w:r>
          </w:p>
        </w:tc>
        <w:tc>
          <w:tcPr>
            <w:tcW w:w="1975" w:type="dxa"/>
          </w:tcPr>
          <w:p w14:paraId="05BD6D1D" w14:textId="43E7E0E6" w:rsidR="00BF194D" w:rsidRPr="00E854B3" w:rsidRDefault="002E6DAD" w:rsidP="00E854B3">
            <w:pPr>
              <w:jc w:val="center"/>
              <w:rPr>
                <w:sz w:val="18"/>
                <w:szCs w:val="18"/>
              </w:rPr>
            </w:pPr>
            <w:r w:rsidRPr="00E854B3">
              <w:rPr>
                <w:sz w:val="18"/>
                <w:szCs w:val="18"/>
              </w:rPr>
              <w:t>7</w:t>
            </w:r>
          </w:p>
        </w:tc>
      </w:tr>
      <w:tr w:rsidR="00850176" w:rsidRPr="00CB4655" w14:paraId="3B5D19D6" w14:textId="77777777" w:rsidTr="00D35251">
        <w:trPr>
          <w:jc w:val="center"/>
        </w:trPr>
        <w:tc>
          <w:tcPr>
            <w:tcW w:w="1435" w:type="dxa"/>
          </w:tcPr>
          <w:p w14:paraId="28735C28" w14:textId="21997533" w:rsidR="00757530" w:rsidRPr="00E854B3" w:rsidRDefault="00757530" w:rsidP="00E854B3">
            <w:pPr>
              <w:jc w:val="center"/>
              <w:rPr>
                <w:sz w:val="18"/>
                <w:szCs w:val="18"/>
              </w:rPr>
            </w:pPr>
            <w:r w:rsidRPr="00E854B3">
              <w:rPr>
                <w:sz w:val="18"/>
                <w:szCs w:val="18"/>
              </w:rPr>
              <w:t>2022 – 2023</w:t>
            </w:r>
          </w:p>
        </w:tc>
        <w:tc>
          <w:tcPr>
            <w:tcW w:w="1800" w:type="dxa"/>
          </w:tcPr>
          <w:p w14:paraId="6CA33994" w14:textId="6E9D786D" w:rsidR="00BF194D" w:rsidRPr="00E854B3" w:rsidRDefault="00161F3A" w:rsidP="00E854B3">
            <w:pPr>
              <w:jc w:val="center"/>
              <w:rPr>
                <w:sz w:val="18"/>
                <w:szCs w:val="18"/>
              </w:rPr>
            </w:pPr>
            <w:r w:rsidRPr="00E854B3">
              <w:rPr>
                <w:sz w:val="18"/>
                <w:szCs w:val="18"/>
              </w:rPr>
              <w:t>23</w:t>
            </w:r>
          </w:p>
        </w:tc>
        <w:tc>
          <w:tcPr>
            <w:tcW w:w="1800" w:type="dxa"/>
          </w:tcPr>
          <w:p w14:paraId="4CE4D4CE" w14:textId="1CD2FB2E" w:rsidR="00BF194D" w:rsidRPr="00E854B3" w:rsidRDefault="00B41FD3" w:rsidP="00E854B3">
            <w:pPr>
              <w:jc w:val="center"/>
              <w:rPr>
                <w:sz w:val="18"/>
                <w:szCs w:val="18"/>
              </w:rPr>
            </w:pPr>
            <w:r w:rsidRPr="00E854B3">
              <w:rPr>
                <w:sz w:val="18"/>
                <w:szCs w:val="18"/>
              </w:rPr>
              <w:t>365</w:t>
            </w:r>
          </w:p>
        </w:tc>
        <w:tc>
          <w:tcPr>
            <w:tcW w:w="2160" w:type="dxa"/>
          </w:tcPr>
          <w:p w14:paraId="01C4CE5D" w14:textId="00C33319" w:rsidR="00BF194D" w:rsidRPr="00E854B3" w:rsidRDefault="00A60CED" w:rsidP="00E854B3">
            <w:pPr>
              <w:jc w:val="center"/>
              <w:rPr>
                <w:sz w:val="18"/>
                <w:szCs w:val="18"/>
              </w:rPr>
            </w:pPr>
            <w:r w:rsidRPr="00E854B3">
              <w:rPr>
                <w:sz w:val="18"/>
                <w:szCs w:val="18"/>
              </w:rPr>
              <w:t>88</w:t>
            </w:r>
          </w:p>
        </w:tc>
        <w:tc>
          <w:tcPr>
            <w:tcW w:w="1620" w:type="dxa"/>
          </w:tcPr>
          <w:p w14:paraId="762D6BFF" w14:textId="6FC7CE93" w:rsidR="00BF194D" w:rsidRPr="00E854B3" w:rsidRDefault="00FE7680" w:rsidP="00E854B3">
            <w:pPr>
              <w:jc w:val="center"/>
              <w:rPr>
                <w:sz w:val="18"/>
                <w:szCs w:val="18"/>
              </w:rPr>
            </w:pPr>
            <w:r w:rsidRPr="00E854B3">
              <w:rPr>
                <w:sz w:val="18"/>
                <w:szCs w:val="18"/>
              </w:rPr>
              <w:t>17</w:t>
            </w:r>
          </w:p>
        </w:tc>
        <w:tc>
          <w:tcPr>
            <w:tcW w:w="1975" w:type="dxa"/>
          </w:tcPr>
          <w:p w14:paraId="479507E8" w14:textId="226E424D" w:rsidR="00BF194D" w:rsidRPr="00E854B3" w:rsidRDefault="002E6DAD" w:rsidP="00E854B3">
            <w:pPr>
              <w:jc w:val="center"/>
              <w:rPr>
                <w:sz w:val="18"/>
                <w:szCs w:val="18"/>
              </w:rPr>
            </w:pPr>
            <w:r w:rsidRPr="00E854B3">
              <w:rPr>
                <w:sz w:val="18"/>
                <w:szCs w:val="18"/>
              </w:rPr>
              <w:t>6</w:t>
            </w:r>
          </w:p>
        </w:tc>
      </w:tr>
      <w:tr w:rsidR="00161F3A" w:rsidRPr="00CB4655" w14:paraId="234988FF" w14:textId="77777777" w:rsidTr="00D35251">
        <w:trPr>
          <w:jc w:val="center"/>
        </w:trPr>
        <w:tc>
          <w:tcPr>
            <w:tcW w:w="1435" w:type="dxa"/>
          </w:tcPr>
          <w:p w14:paraId="56B36883" w14:textId="06073F67" w:rsidR="0086361D" w:rsidRPr="00E854B3" w:rsidRDefault="0086361D" w:rsidP="00E854B3">
            <w:pPr>
              <w:jc w:val="center"/>
              <w:rPr>
                <w:sz w:val="18"/>
                <w:szCs w:val="18"/>
              </w:rPr>
            </w:pPr>
            <w:r w:rsidRPr="00E854B3">
              <w:rPr>
                <w:sz w:val="18"/>
                <w:szCs w:val="18"/>
              </w:rPr>
              <w:t>2023 – 2024</w:t>
            </w:r>
          </w:p>
        </w:tc>
        <w:tc>
          <w:tcPr>
            <w:tcW w:w="1800" w:type="dxa"/>
          </w:tcPr>
          <w:p w14:paraId="3BBD5B55" w14:textId="05CE21E7" w:rsidR="00161F3A" w:rsidRPr="00E854B3" w:rsidRDefault="00161F3A" w:rsidP="00E854B3">
            <w:pPr>
              <w:jc w:val="center"/>
              <w:rPr>
                <w:sz w:val="18"/>
                <w:szCs w:val="18"/>
              </w:rPr>
            </w:pPr>
            <w:r w:rsidRPr="00E854B3">
              <w:rPr>
                <w:sz w:val="18"/>
                <w:szCs w:val="18"/>
              </w:rPr>
              <w:t>25</w:t>
            </w:r>
          </w:p>
        </w:tc>
        <w:tc>
          <w:tcPr>
            <w:tcW w:w="1800" w:type="dxa"/>
          </w:tcPr>
          <w:p w14:paraId="6A659B60" w14:textId="313237AF" w:rsidR="00161F3A" w:rsidRPr="00E854B3" w:rsidRDefault="00B41FD3" w:rsidP="00E854B3">
            <w:pPr>
              <w:jc w:val="center"/>
              <w:rPr>
                <w:sz w:val="18"/>
                <w:szCs w:val="18"/>
              </w:rPr>
            </w:pPr>
            <w:r w:rsidRPr="00E854B3">
              <w:rPr>
                <w:sz w:val="18"/>
                <w:szCs w:val="18"/>
              </w:rPr>
              <w:t>344</w:t>
            </w:r>
          </w:p>
        </w:tc>
        <w:tc>
          <w:tcPr>
            <w:tcW w:w="2160" w:type="dxa"/>
          </w:tcPr>
          <w:p w14:paraId="5706A75D" w14:textId="2237088A" w:rsidR="00161F3A" w:rsidRPr="00E854B3" w:rsidRDefault="00A60CED" w:rsidP="00E854B3">
            <w:pPr>
              <w:jc w:val="center"/>
              <w:rPr>
                <w:sz w:val="18"/>
                <w:szCs w:val="18"/>
              </w:rPr>
            </w:pPr>
            <w:r w:rsidRPr="00E854B3">
              <w:rPr>
                <w:sz w:val="18"/>
                <w:szCs w:val="18"/>
              </w:rPr>
              <w:t>76</w:t>
            </w:r>
          </w:p>
        </w:tc>
        <w:tc>
          <w:tcPr>
            <w:tcW w:w="1620" w:type="dxa"/>
          </w:tcPr>
          <w:p w14:paraId="354F6D6F" w14:textId="332FE98B" w:rsidR="00161F3A" w:rsidRPr="00E854B3" w:rsidRDefault="00FE7680" w:rsidP="00E854B3">
            <w:pPr>
              <w:jc w:val="center"/>
              <w:rPr>
                <w:sz w:val="18"/>
                <w:szCs w:val="18"/>
              </w:rPr>
            </w:pPr>
            <w:r w:rsidRPr="00E854B3">
              <w:rPr>
                <w:sz w:val="18"/>
                <w:szCs w:val="18"/>
              </w:rPr>
              <w:t>18</w:t>
            </w:r>
          </w:p>
        </w:tc>
        <w:tc>
          <w:tcPr>
            <w:tcW w:w="1975" w:type="dxa"/>
          </w:tcPr>
          <w:p w14:paraId="4325FC36" w14:textId="7AF2363F" w:rsidR="00161F3A" w:rsidRPr="00E854B3" w:rsidRDefault="002E6DAD" w:rsidP="00E854B3">
            <w:pPr>
              <w:jc w:val="center"/>
              <w:rPr>
                <w:sz w:val="18"/>
                <w:szCs w:val="18"/>
              </w:rPr>
            </w:pPr>
            <w:r w:rsidRPr="00E854B3">
              <w:rPr>
                <w:sz w:val="18"/>
                <w:szCs w:val="18"/>
              </w:rPr>
              <w:t>4</w:t>
            </w:r>
          </w:p>
        </w:tc>
      </w:tr>
      <w:tr w:rsidR="0086361D" w:rsidRPr="00CB4655" w14:paraId="5E362423" w14:textId="77777777" w:rsidTr="00D35251">
        <w:trPr>
          <w:jc w:val="center"/>
        </w:trPr>
        <w:tc>
          <w:tcPr>
            <w:tcW w:w="1435" w:type="dxa"/>
          </w:tcPr>
          <w:p w14:paraId="71686BF8" w14:textId="4238DB2A" w:rsidR="0086361D" w:rsidRPr="00E854B3" w:rsidRDefault="0086361D" w:rsidP="00E854B3">
            <w:pPr>
              <w:jc w:val="center"/>
              <w:rPr>
                <w:sz w:val="18"/>
                <w:szCs w:val="18"/>
              </w:rPr>
            </w:pPr>
            <w:r w:rsidRPr="00E854B3">
              <w:rPr>
                <w:sz w:val="18"/>
                <w:szCs w:val="18"/>
              </w:rPr>
              <w:t>2024 – 2025</w:t>
            </w:r>
          </w:p>
        </w:tc>
        <w:tc>
          <w:tcPr>
            <w:tcW w:w="1800" w:type="dxa"/>
          </w:tcPr>
          <w:p w14:paraId="4E02F1C5" w14:textId="42C032AE" w:rsidR="0086361D" w:rsidRPr="00E854B3" w:rsidRDefault="00A500F9" w:rsidP="00E854B3">
            <w:pPr>
              <w:jc w:val="center"/>
              <w:rPr>
                <w:sz w:val="18"/>
                <w:szCs w:val="18"/>
              </w:rPr>
            </w:pPr>
            <w:r w:rsidRPr="00E854B3">
              <w:rPr>
                <w:sz w:val="18"/>
                <w:szCs w:val="18"/>
              </w:rPr>
              <w:t>2</w:t>
            </w:r>
            <w:r w:rsidR="00C26342" w:rsidRPr="00E854B3">
              <w:rPr>
                <w:sz w:val="18"/>
                <w:szCs w:val="18"/>
              </w:rPr>
              <w:t>3</w:t>
            </w:r>
          </w:p>
        </w:tc>
        <w:tc>
          <w:tcPr>
            <w:tcW w:w="1800" w:type="dxa"/>
          </w:tcPr>
          <w:p w14:paraId="6201F09A" w14:textId="46C1B535" w:rsidR="0086361D" w:rsidRPr="00E854B3" w:rsidRDefault="006B3B93" w:rsidP="00E854B3">
            <w:pPr>
              <w:jc w:val="center"/>
              <w:rPr>
                <w:sz w:val="18"/>
                <w:szCs w:val="18"/>
              </w:rPr>
            </w:pPr>
            <w:r w:rsidRPr="00E854B3">
              <w:rPr>
                <w:sz w:val="18"/>
                <w:szCs w:val="18"/>
              </w:rPr>
              <w:t>310</w:t>
            </w:r>
          </w:p>
        </w:tc>
        <w:tc>
          <w:tcPr>
            <w:tcW w:w="2160" w:type="dxa"/>
          </w:tcPr>
          <w:p w14:paraId="7F781C35" w14:textId="59127B2F" w:rsidR="0086361D" w:rsidRPr="00E854B3" w:rsidRDefault="009972C3" w:rsidP="00E854B3">
            <w:pPr>
              <w:jc w:val="center"/>
              <w:rPr>
                <w:sz w:val="18"/>
                <w:szCs w:val="18"/>
              </w:rPr>
            </w:pPr>
            <w:r w:rsidRPr="00E854B3">
              <w:rPr>
                <w:sz w:val="18"/>
                <w:szCs w:val="18"/>
              </w:rPr>
              <w:t>75</w:t>
            </w:r>
          </w:p>
        </w:tc>
        <w:tc>
          <w:tcPr>
            <w:tcW w:w="1620" w:type="dxa"/>
          </w:tcPr>
          <w:p w14:paraId="3DDF1C68" w14:textId="501A9459" w:rsidR="0086361D" w:rsidRPr="00E854B3" w:rsidRDefault="00DA6034" w:rsidP="00E854B3">
            <w:pPr>
              <w:jc w:val="center"/>
              <w:rPr>
                <w:sz w:val="18"/>
                <w:szCs w:val="18"/>
              </w:rPr>
            </w:pPr>
            <w:r w:rsidRPr="00E854B3">
              <w:rPr>
                <w:sz w:val="18"/>
                <w:szCs w:val="18"/>
              </w:rPr>
              <w:t>18</w:t>
            </w:r>
          </w:p>
        </w:tc>
        <w:tc>
          <w:tcPr>
            <w:tcW w:w="1975" w:type="dxa"/>
          </w:tcPr>
          <w:p w14:paraId="3351A510" w14:textId="706694A4" w:rsidR="0086361D" w:rsidRPr="00E854B3" w:rsidRDefault="00A20EA5" w:rsidP="00E854B3">
            <w:pPr>
              <w:jc w:val="center"/>
              <w:rPr>
                <w:sz w:val="18"/>
                <w:szCs w:val="18"/>
              </w:rPr>
            </w:pPr>
            <w:r w:rsidRPr="00E854B3">
              <w:rPr>
                <w:sz w:val="18"/>
                <w:szCs w:val="18"/>
              </w:rPr>
              <w:t>5</w:t>
            </w:r>
          </w:p>
        </w:tc>
      </w:tr>
      <w:tr w:rsidR="0086361D" w:rsidRPr="00CB4655" w14:paraId="7971AD5F" w14:textId="77777777" w:rsidTr="00D35251">
        <w:trPr>
          <w:jc w:val="center"/>
        </w:trPr>
        <w:tc>
          <w:tcPr>
            <w:tcW w:w="1435" w:type="dxa"/>
          </w:tcPr>
          <w:p w14:paraId="0A515294" w14:textId="35E404A9" w:rsidR="0086361D" w:rsidRPr="00E854B3" w:rsidRDefault="0086361D" w:rsidP="00E854B3">
            <w:pPr>
              <w:jc w:val="center"/>
              <w:rPr>
                <w:sz w:val="18"/>
                <w:szCs w:val="18"/>
              </w:rPr>
            </w:pPr>
            <w:r w:rsidRPr="00E854B3">
              <w:rPr>
                <w:sz w:val="18"/>
                <w:szCs w:val="18"/>
              </w:rPr>
              <w:t>2025 – 2026</w:t>
            </w:r>
          </w:p>
        </w:tc>
        <w:tc>
          <w:tcPr>
            <w:tcW w:w="1800" w:type="dxa"/>
          </w:tcPr>
          <w:p w14:paraId="6CD9BA73" w14:textId="06FFDC61" w:rsidR="0086361D" w:rsidRPr="00E854B3" w:rsidRDefault="00D26217" w:rsidP="00E854B3">
            <w:pPr>
              <w:jc w:val="center"/>
              <w:rPr>
                <w:sz w:val="18"/>
                <w:szCs w:val="18"/>
              </w:rPr>
            </w:pPr>
            <w:r w:rsidRPr="00E854B3">
              <w:rPr>
                <w:sz w:val="18"/>
                <w:szCs w:val="18"/>
              </w:rPr>
              <w:t>16</w:t>
            </w:r>
          </w:p>
        </w:tc>
        <w:tc>
          <w:tcPr>
            <w:tcW w:w="1800" w:type="dxa"/>
          </w:tcPr>
          <w:p w14:paraId="77D2C0F0" w14:textId="61FBB726" w:rsidR="0086361D" w:rsidRPr="00E854B3" w:rsidRDefault="00641FC2" w:rsidP="00E854B3">
            <w:pPr>
              <w:jc w:val="center"/>
              <w:rPr>
                <w:sz w:val="18"/>
                <w:szCs w:val="18"/>
              </w:rPr>
            </w:pPr>
            <w:r w:rsidRPr="00E854B3">
              <w:rPr>
                <w:sz w:val="18"/>
                <w:szCs w:val="18"/>
              </w:rPr>
              <w:t>224</w:t>
            </w:r>
          </w:p>
        </w:tc>
        <w:tc>
          <w:tcPr>
            <w:tcW w:w="2160" w:type="dxa"/>
          </w:tcPr>
          <w:p w14:paraId="6B40BE6E" w14:textId="70CF6A48" w:rsidR="0086361D" w:rsidRPr="00E854B3" w:rsidRDefault="00C52BA0" w:rsidP="00E854B3">
            <w:pPr>
              <w:jc w:val="center"/>
              <w:rPr>
                <w:sz w:val="18"/>
                <w:szCs w:val="18"/>
              </w:rPr>
            </w:pPr>
            <w:r w:rsidRPr="00E854B3">
              <w:rPr>
                <w:sz w:val="18"/>
                <w:szCs w:val="18"/>
              </w:rPr>
              <w:t>78</w:t>
            </w:r>
          </w:p>
        </w:tc>
        <w:tc>
          <w:tcPr>
            <w:tcW w:w="1620" w:type="dxa"/>
          </w:tcPr>
          <w:p w14:paraId="2DD67CEB" w14:textId="03377D45" w:rsidR="0086361D" w:rsidRPr="00E854B3" w:rsidRDefault="00472068" w:rsidP="00E854B3">
            <w:pPr>
              <w:jc w:val="center"/>
              <w:rPr>
                <w:sz w:val="18"/>
                <w:szCs w:val="18"/>
              </w:rPr>
            </w:pPr>
            <w:r w:rsidRPr="00E854B3">
              <w:rPr>
                <w:sz w:val="18"/>
                <w:szCs w:val="18"/>
              </w:rPr>
              <w:t>13</w:t>
            </w:r>
          </w:p>
        </w:tc>
        <w:tc>
          <w:tcPr>
            <w:tcW w:w="1975" w:type="dxa"/>
          </w:tcPr>
          <w:p w14:paraId="1883200F" w14:textId="4295DC17" w:rsidR="0086361D" w:rsidRPr="00E854B3" w:rsidRDefault="007B494D" w:rsidP="00E854B3">
            <w:pPr>
              <w:jc w:val="center"/>
              <w:rPr>
                <w:sz w:val="18"/>
                <w:szCs w:val="18"/>
              </w:rPr>
            </w:pPr>
            <w:r w:rsidRPr="00E854B3">
              <w:rPr>
                <w:sz w:val="18"/>
                <w:szCs w:val="18"/>
              </w:rPr>
              <w:t>5</w:t>
            </w:r>
          </w:p>
        </w:tc>
      </w:tr>
    </w:tbl>
    <w:p w14:paraId="05339807" w14:textId="77777777" w:rsidR="00BF194D" w:rsidRPr="0047520D" w:rsidRDefault="00BF194D" w:rsidP="0047520D"/>
    <w:sectPr w:rsidR="00BF194D" w:rsidRPr="0047520D" w:rsidSect="001B0D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DC1"/>
    <w:rsid w:val="00021466"/>
    <w:rsid w:val="00042B5A"/>
    <w:rsid w:val="00104507"/>
    <w:rsid w:val="00161F3A"/>
    <w:rsid w:val="00197C69"/>
    <w:rsid w:val="001B0DC1"/>
    <w:rsid w:val="001D13ED"/>
    <w:rsid w:val="002070E0"/>
    <w:rsid w:val="00216490"/>
    <w:rsid w:val="0025067A"/>
    <w:rsid w:val="00283E9E"/>
    <w:rsid w:val="00294FC5"/>
    <w:rsid w:val="002E6DAD"/>
    <w:rsid w:val="00344BFD"/>
    <w:rsid w:val="00354A2D"/>
    <w:rsid w:val="00424AE7"/>
    <w:rsid w:val="00445200"/>
    <w:rsid w:val="00472068"/>
    <w:rsid w:val="0047520D"/>
    <w:rsid w:val="004F1B41"/>
    <w:rsid w:val="00504CAF"/>
    <w:rsid w:val="00562EA8"/>
    <w:rsid w:val="00641FC2"/>
    <w:rsid w:val="006B3B93"/>
    <w:rsid w:val="006F31E2"/>
    <w:rsid w:val="007223D0"/>
    <w:rsid w:val="00744D0E"/>
    <w:rsid w:val="00757530"/>
    <w:rsid w:val="007624A8"/>
    <w:rsid w:val="00796E49"/>
    <w:rsid w:val="007B494D"/>
    <w:rsid w:val="007D4D38"/>
    <w:rsid w:val="007E13C4"/>
    <w:rsid w:val="008042E7"/>
    <w:rsid w:val="00832911"/>
    <w:rsid w:val="00850176"/>
    <w:rsid w:val="0086361D"/>
    <w:rsid w:val="00947FB8"/>
    <w:rsid w:val="009972C3"/>
    <w:rsid w:val="00A01541"/>
    <w:rsid w:val="00A073AF"/>
    <w:rsid w:val="00A20EA5"/>
    <w:rsid w:val="00A500F9"/>
    <w:rsid w:val="00A550F0"/>
    <w:rsid w:val="00A60CED"/>
    <w:rsid w:val="00A74F53"/>
    <w:rsid w:val="00AC5B6A"/>
    <w:rsid w:val="00AE123E"/>
    <w:rsid w:val="00B2530D"/>
    <w:rsid w:val="00B41FD3"/>
    <w:rsid w:val="00B5190F"/>
    <w:rsid w:val="00B70366"/>
    <w:rsid w:val="00B7049A"/>
    <w:rsid w:val="00BA6D21"/>
    <w:rsid w:val="00BF194D"/>
    <w:rsid w:val="00C26342"/>
    <w:rsid w:val="00C52BA0"/>
    <w:rsid w:val="00C56469"/>
    <w:rsid w:val="00C76D9D"/>
    <w:rsid w:val="00C91F5A"/>
    <w:rsid w:val="00CB2225"/>
    <w:rsid w:val="00CB3007"/>
    <w:rsid w:val="00CB4655"/>
    <w:rsid w:val="00D22FA0"/>
    <w:rsid w:val="00D26217"/>
    <w:rsid w:val="00D35251"/>
    <w:rsid w:val="00D43D8A"/>
    <w:rsid w:val="00DA6034"/>
    <w:rsid w:val="00DD78E3"/>
    <w:rsid w:val="00E052D9"/>
    <w:rsid w:val="00E2465E"/>
    <w:rsid w:val="00E66792"/>
    <w:rsid w:val="00E74979"/>
    <w:rsid w:val="00E854B3"/>
    <w:rsid w:val="00EF68FF"/>
    <w:rsid w:val="00F34248"/>
    <w:rsid w:val="00F90A3D"/>
    <w:rsid w:val="00FE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C739A"/>
  <w15:chartTrackingRefBased/>
  <w15:docId w15:val="{5DC479F6-79FF-49AD-968A-32D23C77E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0D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B0D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0D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0D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0D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0D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D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D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D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D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B0D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D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D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D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D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D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D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DC1"/>
    <w:rPr>
      <w:rFonts w:eastAsiaTheme="majorEastAsia" w:cstheme="majorBidi"/>
      <w:color w:val="272727" w:themeColor="text1" w:themeTint="D8"/>
    </w:rPr>
  </w:style>
  <w:style w:type="paragraph" w:styleId="Title">
    <w:name w:val="Title"/>
    <w:basedOn w:val="Normal"/>
    <w:next w:val="Normal"/>
    <w:link w:val="TitleChar"/>
    <w:uiPriority w:val="10"/>
    <w:qFormat/>
    <w:rsid w:val="001B0D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D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D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D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DC1"/>
    <w:pPr>
      <w:spacing w:before="160"/>
      <w:jc w:val="center"/>
    </w:pPr>
    <w:rPr>
      <w:i/>
      <w:iCs/>
      <w:color w:val="404040" w:themeColor="text1" w:themeTint="BF"/>
    </w:rPr>
  </w:style>
  <w:style w:type="character" w:customStyle="1" w:styleId="QuoteChar">
    <w:name w:val="Quote Char"/>
    <w:basedOn w:val="DefaultParagraphFont"/>
    <w:link w:val="Quote"/>
    <w:uiPriority w:val="29"/>
    <w:rsid w:val="001B0DC1"/>
    <w:rPr>
      <w:i/>
      <w:iCs/>
      <w:color w:val="404040" w:themeColor="text1" w:themeTint="BF"/>
    </w:rPr>
  </w:style>
  <w:style w:type="paragraph" w:styleId="ListParagraph">
    <w:name w:val="List Paragraph"/>
    <w:basedOn w:val="Normal"/>
    <w:uiPriority w:val="34"/>
    <w:qFormat/>
    <w:rsid w:val="001B0DC1"/>
    <w:pPr>
      <w:ind w:left="720"/>
      <w:contextualSpacing/>
    </w:pPr>
  </w:style>
  <w:style w:type="character" w:styleId="IntenseEmphasis">
    <w:name w:val="Intense Emphasis"/>
    <w:basedOn w:val="DefaultParagraphFont"/>
    <w:uiPriority w:val="21"/>
    <w:qFormat/>
    <w:rsid w:val="001B0DC1"/>
    <w:rPr>
      <w:i/>
      <w:iCs/>
      <w:color w:val="0F4761" w:themeColor="accent1" w:themeShade="BF"/>
    </w:rPr>
  </w:style>
  <w:style w:type="paragraph" w:styleId="IntenseQuote">
    <w:name w:val="Intense Quote"/>
    <w:basedOn w:val="Normal"/>
    <w:next w:val="Normal"/>
    <w:link w:val="IntenseQuoteChar"/>
    <w:uiPriority w:val="30"/>
    <w:qFormat/>
    <w:rsid w:val="001B0D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0DC1"/>
    <w:rPr>
      <w:i/>
      <w:iCs/>
      <w:color w:val="0F4761" w:themeColor="accent1" w:themeShade="BF"/>
    </w:rPr>
  </w:style>
  <w:style w:type="character" w:styleId="IntenseReference">
    <w:name w:val="Intense Reference"/>
    <w:basedOn w:val="DefaultParagraphFont"/>
    <w:uiPriority w:val="32"/>
    <w:qFormat/>
    <w:rsid w:val="001B0DC1"/>
    <w:rPr>
      <w:b/>
      <w:bCs/>
      <w:smallCaps/>
      <w:color w:val="0F4761" w:themeColor="accent1" w:themeShade="BF"/>
      <w:spacing w:val="5"/>
    </w:rPr>
  </w:style>
  <w:style w:type="table" w:styleId="TableGrid">
    <w:name w:val="Table Grid"/>
    <w:basedOn w:val="TableNormal"/>
    <w:uiPriority w:val="39"/>
    <w:rsid w:val="00BF1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8CB3B-D32F-4851-AB3F-B40541C35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Bitters, Todd</dc:creator>
  <cp:keywords/>
  <dc:description/>
  <cp:lastModifiedBy>Bitters, Todd</cp:lastModifiedBy>
  <cp:revision>69</cp:revision>
  <dcterms:created xsi:type="dcterms:W3CDTF">2026-01-13T13:47:00Z</dcterms:created>
  <dcterms:modified xsi:type="dcterms:W3CDTF">2026-01-13T16:06:00Z</dcterms:modified>
</cp:coreProperties>
</file>